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0"/>
        <w:ind w:firstLine="0"/>
        <w:jc w:val="both"/>
        <w:rPr>
          <w:rFonts w:hint="eastAsia" w:ascii="宋体" w:hAnsi="宋体" w:eastAsia="宋体" w:cs="宋体"/>
          <w:b/>
          <w:bCs/>
          <w:color w:val="auto"/>
          <w:spacing w:val="80"/>
          <w:sz w:val="72"/>
          <w:szCs w:val="72"/>
          <w:highlight w:val="none"/>
        </w:rPr>
      </w:pPr>
      <w:r>
        <w:rPr>
          <w:rFonts w:hint="eastAsia" w:ascii="宋体" w:hAnsi="宋体" w:eastAsia="宋体" w:cs="宋体"/>
          <w:b/>
          <w:bCs/>
          <w:color w:val="auto"/>
          <w:spacing w:val="80"/>
          <w:sz w:val="72"/>
          <w:szCs w:val="72"/>
          <w:highlight w:val="none"/>
        </w:rPr>
      </w:r>
      <w:r/>
    </w:p>
    <w:p>
      <w:pPr>
        <w:pStyle w:val="930"/>
        <w:ind w:firstLine="0"/>
        <w:jc w:val="center"/>
        <w:rPr>
          <w:rFonts w:hint="eastAsia" w:ascii="宋体" w:hAnsi="宋体" w:eastAsia="宋体" w:cs="宋体"/>
          <w:b/>
          <w:color w:val="auto"/>
          <w:sz w:val="52"/>
          <w:szCs w:val="52"/>
          <w:highlight w:val="none"/>
        </w:rPr>
      </w:pPr>
      <w:r>
        <w:rPr>
          <w:rFonts w:hint="eastAsia" w:ascii="宋体" w:hAnsi="宋体" w:eastAsia="宋体" w:cs="宋体"/>
          <w:b/>
          <w:bCs/>
          <w:color w:val="auto"/>
          <w:spacing w:val="80"/>
          <w:sz w:val="72"/>
          <w:szCs w:val="72"/>
          <w:highlight w:val="none"/>
        </w:rPr>
        <w:t xml:space="preserve">连云港市政府采购</w:t>
      </w:r>
      <w:r/>
    </w:p>
    <w:p>
      <w:pPr>
        <w:pStyle w:val="930"/>
        <w:ind w:firstLine="0"/>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pStyle w:val="930"/>
        <w:ind w:firstLine="0"/>
        <w:jc w:val="center"/>
        <w:rPr>
          <w:rFonts w:hint="eastAsia" w:ascii="宋体" w:hAnsi="宋体" w:eastAsia="宋体" w:cs="宋体"/>
          <w:b/>
          <w:bCs/>
          <w:color w:val="auto"/>
          <w:sz w:val="72"/>
          <w:szCs w:val="72"/>
          <w:highlight w:val="none"/>
        </w:rPr>
      </w:pPr>
      <w:r/>
      <w:bookmarkStart w:id="0" w:name="_Toc19999"/>
      <w:r>
        <w:rPr>
          <w:rFonts w:hint="eastAsia" w:ascii="宋体" w:hAnsi="宋体" w:eastAsia="宋体" w:cs="宋体"/>
          <w:b/>
          <w:bCs/>
          <w:color w:val="auto"/>
          <w:sz w:val="72"/>
          <w:szCs w:val="72"/>
          <w:highlight w:val="none"/>
        </w:rPr>
        <w:t xml:space="preserve">竞争性磋商文件</w:t>
      </w:r>
      <w:bookmarkEnd w:id="0"/>
      <w:r/>
      <w:r/>
    </w:p>
    <w:p>
      <w:pPr>
        <w:pStyle w:val="930"/>
        <w:ind w:firstLine="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0"/>
        <w:ind w:firstLine="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tbl>
      <w:tblPr>
        <w:tblStyle w:val="697"/>
        <w:tblW w:w="5000" w:type="pct"/>
        <w:jc w:val="center"/>
        <w:tblLayout w:type="fixed"/>
        <w:tblCellMar>
          <w:left w:w="108" w:type="dxa"/>
          <w:top w:w="0" w:type="dxa"/>
          <w:right w:w="108" w:type="dxa"/>
          <w:bottom w:w="0" w:type="dxa"/>
        </w:tblCellMar>
        <w:tblLook w:val="04A0" w:firstRow="1" w:lastRow="0" w:firstColumn="1" w:lastColumn="0" w:noHBand="0" w:noVBand="1"/>
      </w:tblPr>
      <w:tblGrid>
        <w:gridCol w:w="2064"/>
        <w:gridCol w:w="7898"/>
      </w:tblGrid>
      <w:tr>
        <w:trPr>
          <w:jc w:val="center"/>
          <w:trHeight w:val="855"/>
        </w:trPr>
        <w:tc>
          <w:tcPr>
            <w:tcW w:w="1035" w:type="pct"/>
            <w:vAlign w:val="center"/>
            <w:textDirection w:val="lrTb"/>
            <w:noWrap/>
          </w:tcPr>
          <w:p>
            <w:pPr>
              <w:jc w:val="center"/>
              <w:spacing w:line="360" w:lineRule="auto"/>
              <w:rPr>
                <w:rFonts w:hint="eastAsia" w:ascii="宋体" w:hAnsi="宋体" w:eastAsia="宋体" w:cs="宋体"/>
                <w:b/>
                <w:bCs/>
                <w:color w:val="auto"/>
                <w:spacing w:val="16"/>
                <w:sz w:val="32"/>
                <w:szCs w:val="32"/>
                <w:highlight w:val="none"/>
              </w:rPr>
            </w:pPr>
            <w:r>
              <w:rPr>
                <w:rFonts w:hint="eastAsia" w:ascii="宋体" w:hAnsi="宋体" w:eastAsia="宋体" w:cs="宋体"/>
                <w:b/>
                <w:bCs/>
                <w:color w:val="auto"/>
                <w:spacing w:val="16"/>
                <w:sz w:val="32"/>
                <w:szCs w:val="32"/>
                <w:highlight w:val="none"/>
              </w:rPr>
              <w:t xml:space="preserve">项目名称：</w:t>
            </w:r>
            <w:r/>
          </w:p>
        </w:tc>
        <w:tc>
          <w:tcPr>
            <w:tcW w:w="3964" w:type="pct"/>
            <w:vAlign w:val="center"/>
            <w:textDirection w:val="lrTb"/>
            <w:noWrap/>
          </w:tcPr>
          <w:p>
            <w:pPr>
              <w:spacing w:line="360" w:lineRule="auto"/>
              <w:rPr>
                <w:rFonts w:hint="eastAsia" w:ascii="宋体" w:hAnsi="宋体" w:eastAsia="宋体" w:cs="宋体"/>
                <w:b/>
                <w:bCs/>
                <w:color w:val="auto"/>
                <w:spacing w:val="16"/>
                <w:sz w:val="32"/>
                <w:szCs w:val="32"/>
                <w:highlight w:val="none"/>
                <w:lang w:eastAsia="zh-CN"/>
              </w:rPr>
            </w:pPr>
            <w:r>
              <w:rPr>
                <w:rFonts w:hint="eastAsia" w:ascii="宋体" w:hAnsi="宋体" w:cs="宋体"/>
                <w:b/>
                <w:bCs/>
                <w:color w:val="auto"/>
                <w:sz w:val="32"/>
                <w:highlight w:val="none"/>
                <w:lang w:eastAsia="zh-CN"/>
              </w:rPr>
              <w:t xml:space="preserve">2024年秸秆离田收储利用能力提升项目（专门面向中小企业采购）</w:t>
            </w:r>
            <w:r/>
          </w:p>
        </w:tc>
      </w:tr>
      <w:tr>
        <w:trPr>
          <w:jc w:val="center"/>
          <w:trHeight w:val="855"/>
        </w:trPr>
        <w:tc>
          <w:tcPr>
            <w:tcW w:w="1035" w:type="pct"/>
            <w:vAlign w:val="center"/>
            <w:textDirection w:val="lrTb"/>
            <w:noWrap/>
          </w:tcPr>
          <w:p>
            <w:pPr>
              <w:jc w:val="center"/>
              <w:spacing w:line="360" w:lineRule="auto"/>
              <w:rPr>
                <w:rFonts w:hint="eastAsia" w:ascii="宋体" w:hAnsi="宋体" w:eastAsia="宋体" w:cs="宋体"/>
                <w:b/>
                <w:bCs/>
                <w:color w:val="auto"/>
                <w:spacing w:val="16"/>
                <w:sz w:val="32"/>
                <w:szCs w:val="32"/>
                <w:highlight w:val="none"/>
              </w:rPr>
            </w:pPr>
            <w:r>
              <w:rPr>
                <w:rFonts w:hint="eastAsia" w:ascii="宋体" w:hAnsi="宋体" w:eastAsia="宋体" w:cs="宋体"/>
                <w:b/>
                <w:bCs/>
                <w:color w:val="auto"/>
                <w:spacing w:val="16"/>
                <w:sz w:val="32"/>
                <w:szCs w:val="32"/>
                <w:highlight w:val="none"/>
              </w:rPr>
              <w:t xml:space="preserve">项目编号：</w:t>
            </w:r>
            <w:r/>
          </w:p>
        </w:tc>
        <w:tc>
          <w:tcPr>
            <w:tcW w:w="3964" w:type="pct"/>
            <w:vAlign w:val="center"/>
            <w:textDirection w:val="lrTb"/>
            <w:noWrap/>
          </w:tcPr>
          <w:p>
            <w:pPr>
              <w:spacing w:line="360" w:lineRule="auto"/>
              <w:rPr>
                <w:rFonts w:hint="eastAsia" w:ascii="宋体" w:hAnsi="宋体" w:eastAsia="宋体" w:cs="宋体"/>
                <w:b/>
                <w:bCs/>
                <w:color w:val="auto"/>
                <w:spacing w:val="16"/>
                <w:sz w:val="32"/>
                <w:szCs w:val="32"/>
                <w:highlight w:val="none"/>
                <w:lang w:eastAsia="zh-CN"/>
              </w:rPr>
            </w:pPr>
            <w:r>
              <w:rPr>
                <w:rFonts w:hint="eastAsia" w:ascii="宋体" w:hAnsi="宋体" w:eastAsia="宋体" w:cs="宋体"/>
                <w:b/>
                <w:bCs/>
                <w:color w:val="auto"/>
                <w:spacing w:val="16"/>
                <w:sz w:val="32"/>
                <w:szCs w:val="32"/>
                <w:highlight w:val="none"/>
                <w:lang w:eastAsia="zh-CN"/>
              </w:rPr>
              <w:t xml:space="preserve">JSZC-320707-YGHZ-C2025-0002</w:t>
            </w:r>
            <w:r/>
          </w:p>
        </w:tc>
      </w:tr>
    </w:tbl>
    <w:p>
      <w:pPr>
        <w:pStyle w:val="930"/>
        <w:ind w:firstLine="0"/>
        <w:jc w:val="center"/>
        <w:rPr>
          <w:rFonts w:hint="eastAsia" w:ascii="宋体" w:hAnsi="宋体" w:eastAsia="宋体" w:cs="宋体"/>
          <w:b/>
          <w:bCs/>
          <w:color w:val="auto"/>
          <w:sz w:val="32"/>
          <w:highlight w:val="none"/>
          <w:u w:val="single"/>
        </w:rPr>
      </w:pPr>
      <w:r>
        <w:rPr>
          <w:rFonts w:hint="eastAsia" w:ascii="宋体" w:hAnsi="宋体" w:eastAsia="宋体" w:cs="宋体"/>
          <w:b/>
          <w:bCs/>
          <w:color w:val="auto"/>
          <w:sz w:val="32"/>
          <w:highlight w:val="none"/>
          <w:u w:val="single"/>
        </w:rPr>
      </w:r>
      <w:r/>
    </w:p>
    <w:p>
      <w:pPr>
        <w:pStyle w:val="930"/>
        <w:ind w:firstLine="0"/>
        <w:jc w:val="center"/>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tbl>
      <w:tblPr>
        <w:tblStyle w:val="697"/>
        <w:tblW w:w="4997" w:type="pct"/>
        <w:tblInd w:w="0" w:type="dxa"/>
        <w:tblBorders>
          <w:top w:val="single" w:color="auto" w:sz="18"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623"/>
        <w:gridCol w:w="7333"/>
      </w:tblGrid>
      <w:tr>
        <w:trPr>
          <w:trHeight w:val="827"/>
        </w:trPr>
        <w:tc>
          <w:tcPr>
            <w:tcW w:w="1317" w:type="pct"/>
            <w:vAlign w:val="center"/>
            <w:textDirection w:val="lrTb"/>
            <w:noWrap/>
          </w:tcPr>
          <w:p>
            <w:pPr>
              <w:jc w:val="center"/>
              <w:spacing w:line="360" w:lineRule="auto"/>
              <w:rPr>
                <w:rFonts w:hint="eastAsia" w:ascii="宋体" w:hAnsi="宋体" w:eastAsia="宋体" w:cs="宋体"/>
                <w:color w:val="auto"/>
                <w:highlight w:val="none"/>
              </w:rPr>
            </w:pPr>
            <w:r/>
            <w:bookmarkStart w:id="1" w:name="OLE_LINK4"/>
            <w:r/>
            <w:bookmarkStart w:id="2" w:name="OLE_LINK31"/>
            <w:r>
              <w:rPr>
                <w:rFonts w:hint="eastAsia" w:ascii="宋体" w:hAnsi="宋体" w:eastAsia="宋体" w:cs="宋体"/>
                <w:b/>
                <w:bCs/>
                <w:color w:val="auto"/>
                <w:sz w:val="32"/>
                <w:highlight w:val="none"/>
              </w:rPr>
              <w:t xml:space="preserve">采   购   人：</w:t>
            </w:r>
            <w:bookmarkEnd w:id="1"/>
            <w:r/>
            <w:bookmarkEnd w:id="2"/>
            <w:r/>
            <w:r/>
          </w:p>
        </w:tc>
        <w:tc>
          <w:tcPr>
            <w:tcW w:w="3682" w:type="pct"/>
            <w:vAlign w:val="center"/>
            <w:textDirection w:val="lrTb"/>
            <w:noWrap/>
          </w:tcPr>
          <w:p>
            <w:pPr>
              <w:pStyle w:val="711"/>
              <w:spacing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t xml:space="preserve">连云港市赣榆区农村能源环境保护办公室</w:t>
            </w:r>
            <w:r/>
          </w:p>
        </w:tc>
      </w:tr>
      <w:tr>
        <w:trPr>
          <w:trHeight w:val="797"/>
        </w:trPr>
        <w:tc>
          <w:tcPr>
            <w:tcW w:w="1317" w:type="pct"/>
            <w:vAlign w:val="center"/>
            <w:textDirection w:val="lrTb"/>
            <w:noWrap/>
          </w:tcPr>
          <w:p>
            <w:pPr>
              <w:jc w:val="center"/>
              <w:spacing w:line="360" w:lineRule="auto"/>
              <w:rPr>
                <w:rFonts w:hint="eastAsia" w:ascii="宋体" w:hAnsi="宋体" w:eastAsia="宋体" w:cs="宋体"/>
                <w:color w:val="auto"/>
                <w:highlight w:val="none"/>
              </w:rPr>
            </w:pPr>
            <w:r>
              <w:rPr>
                <w:rFonts w:hint="eastAsia" w:ascii="宋体" w:hAnsi="宋体" w:eastAsia="宋体" w:cs="宋体"/>
                <w:b/>
                <w:bCs/>
                <w:color w:val="auto"/>
                <w:sz w:val="32"/>
                <w:highlight w:val="none"/>
              </w:rPr>
              <w:t xml:space="preserve">采购代理机构：</w:t>
            </w:r>
            <w:r/>
          </w:p>
        </w:tc>
        <w:tc>
          <w:tcPr>
            <w:tcW w:w="3682" w:type="pct"/>
            <w:vAlign w:val="center"/>
            <w:textDirection w:val="lrTb"/>
            <w:noWrap/>
          </w:tcPr>
          <w:p>
            <w:pPr>
              <w:pStyle w:val="711"/>
              <w:spacing w:line="360" w:lineRule="auto"/>
              <w:rPr>
                <w:rFonts w:hint="eastAsia" w:ascii="宋体" w:hAnsi="宋体" w:eastAsia="宋体" w:cs="宋体"/>
                <w:b/>
                <w:bCs/>
                <w:color w:val="auto"/>
                <w:sz w:val="28"/>
                <w:szCs w:val="28"/>
                <w:highlight w:val="none"/>
                <w:lang w:eastAsia="zh-CN"/>
              </w:rPr>
            </w:pPr>
            <w:r>
              <w:rPr>
                <w:rFonts w:hint="eastAsia" w:hAnsi="宋体" w:cs="宋体"/>
                <w:b/>
                <w:bCs/>
                <w:color w:val="auto"/>
                <w:spacing w:val="20"/>
                <w:sz w:val="32"/>
                <w:highlight w:val="none"/>
                <w:lang w:eastAsia="zh-CN"/>
              </w:rPr>
              <w:t xml:space="preserve">连云港衡致工程造价咨询有限公司</w:t>
            </w:r>
            <w:r/>
          </w:p>
        </w:tc>
      </w:tr>
    </w:tbl>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bl>
      <w:tblPr>
        <w:tblStyle w:val="697"/>
        <w:tblW w:w="4428" w:type="dxa"/>
        <w:jc w:val="center"/>
        <w:tblLayout w:type="fixed"/>
        <w:tblCellMar>
          <w:left w:w="108" w:type="dxa"/>
          <w:top w:w="0" w:type="dxa"/>
          <w:right w:w="108" w:type="dxa"/>
          <w:bottom w:w="0" w:type="dxa"/>
        </w:tblCellMar>
        <w:tblLook w:val="04A0" w:firstRow="1" w:lastRow="0" w:firstColumn="1" w:lastColumn="0" w:noHBand="0" w:noVBand="1"/>
      </w:tblPr>
      <w:tblGrid>
        <w:gridCol w:w="4428"/>
      </w:tblGrid>
      <w:tr>
        <w:trPr>
          <w:jc w:val="center"/>
          <w:trHeight w:val="385"/>
        </w:trPr>
        <w:tc>
          <w:tcPr>
            <w:tcW w:w="4428" w:type="dxa"/>
            <w:textDirection w:val="lrTb"/>
            <w:noWrap/>
          </w:tcPr>
          <w:p>
            <w:pPr>
              <w:pStyle w:val="711"/>
              <w:jc w:val="center"/>
              <w:spacing w:line="360" w:lineRule="auto"/>
              <w:rPr>
                <w:rFonts w:hint="eastAsia" w:ascii="宋体" w:hAnsi="宋体" w:eastAsia="宋体" w:cs="宋体"/>
                <w:b/>
                <w:color w:val="auto"/>
                <w:sz w:val="32"/>
                <w:szCs w:val="32"/>
                <w:highlight w:val="none"/>
              </w:rPr>
            </w:pPr>
            <w:r/>
            <w:bookmarkStart w:id="3" w:name="OLE_LINK12"/>
            <w:r/>
            <w:bookmarkStart w:id="4" w:name="OLE_LINK35"/>
            <w:r>
              <w:rPr>
                <w:rFonts w:hint="eastAsia" w:ascii="宋体" w:hAnsi="宋体" w:eastAsia="宋体" w:cs="宋体"/>
                <w:b/>
                <w:color w:val="auto"/>
                <w:sz w:val="32"/>
                <w:szCs w:val="32"/>
                <w:highlight w:val="none"/>
              </w:rPr>
              <w:t xml:space="preserve">202</w:t>
            </w:r>
            <w:r>
              <w:rPr>
                <w:rFonts w:hint="eastAsia" w:ascii="宋体" w:hAnsi="宋体" w:eastAsia="宋体" w:cs="宋体"/>
                <w:b/>
                <w:color w:val="auto"/>
                <w:sz w:val="32"/>
                <w:szCs w:val="32"/>
                <w:highlight w:val="none"/>
                <w:lang w:val="en-US" w:eastAsia="zh-CN"/>
              </w:rPr>
              <w:t xml:space="preserve">5</w:t>
            </w:r>
            <w:r>
              <w:rPr>
                <w:rFonts w:hint="eastAsia" w:ascii="宋体" w:hAnsi="宋体" w:eastAsia="宋体" w:cs="宋体"/>
                <w:b/>
                <w:color w:val="auto"/>
                <w:sz w:val="32"/>
                <w:szCs w:val="32"/>
                <w:highlight w:val="none"/>
              </w:rPr>
              <w:t xml:space="preserve">年</w:t>
            </w:r>
            <w:r>
              <w:rPr>
                <w:rFonts w:hint="eastAsia" w:hAnsi="宋体" w:cs="宋体"/>
                <w:b/>
                <w:color w:val="auto"/>
                <w:sz w:val="32"/>
                <w:szCs w:val="32"/>
                <w:highlight w:val="none"/>
                <w:lang w:val="en-US" w:eastAsia="zh-CN"/>
              </w:rPr>
              <w:t xml:space="preserve">11</w:t>
            </w:r>
            <w:r>
              <w:rPr>
                <w:rFonts w:hint="eastAsia" w:ascii="宋体" w:hAnsi="宋体" w:eastAsia="宋体" w:cs="宋体"/>
                <w:b/>
                <w:color w:val="auto"/>
                <w:sz w:val="32"/>
                <w:szCs w:val="32"/>
                <w:highlight w:val="none"/>
              </w:rPr>
              <w:t xml:space="preserve">月</w:t>
            </w:r>
            <w:bookmarkEnd w:id="3"/>
            <w:r/>
            <w:bookmarkEnd w:id="4"/>
            <w:r/>
            <w:r/>
          </w:p>
        </w:tc>
      </w:tr>
    </w:tbl>
    <w:p>
      <w:pPr>
        <w:rPr>
          <w:rFonts w:hint="eastAsia" w:ascii="宋体" w:hAnsi="宋体" w:eastAsia="宋体" w:cs="宋体"/>
          <w:b/>
          <w:color w:val="auto"/>
          <w:sz w:val="44"/>
          <w:szCs w:val="21"/>
          <w:highlight w:val="none"/>
        </w:rPr>
      </w:pPr>
      <w:r/>
      <w:bookmarkStart w:id="5" w:name="_Toc32753"/>
      <w:r/>
      <w:bookmarkEnd w:id="5"/>
      <w:r/>
      <w:bookmarkStart w:id="6" w:name="_Toc1185"/>
      <w:r/>
      <w:bookmarkEnd w:id="6"/>
      <w:r/>
      <w:bookmarkStart w:id="7" w:name="_Toc28507"/>
      <w:r/>
      <w:bookmarkEnd w:id="7"/>
      <w:r/>
      <w:r/>
    </w:p>
    <w:sdt>
      <w:sdtPr>
        <w15:appearance w15:val="boundingBox"/>
        <w:id w:val="147474154"/>
        <w:docPartObj>
          <w:docPartGallery w:val="Table of Contents"/>
          <w:docPartUnique w:val="true"/>
        </w:docPartObj>
        <w:rPr>
          <w:rFonts w:hint="eastAsia" w:ascii="宋体" w:hAnsi="宋体" w:eastAsia="宋体" w:cs="宋体"/>
          <w:b/>
          <w:bCs/>
          <w:color w:val="auto"/>
          <w:sz w:val="32"/>
          <w:szCs w:val="32"/>
          <w:highlight w:val="none"/>
        </w:rPr>
      </w:sdtPr>
      <w:sdtContent>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目  录</w:t>
          </w:r>
          <w:r/>
        </w:p>
        <w:p>
          <w:pPr>
            <w:pStyle w:val="939"/>
            <w:jc w:val="center"/>
            <w:spacing w:line="360" w:lineRule="auto"/>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TOC \o "1-1" \h \u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"_Toc30400"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第一章 竞争性磋商采购公告</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_Toc30400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3</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939"/>
            <w:jc w:val="center"/>
            <w:spacing w:line="360" w:lineRule="auto"/>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"_Toc23310"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第二章 供应商须知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_Toc23310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7</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939"/>
            <w:jc w:val="center"/>
            <w:spacing w:line="360" w:lineRule="auto"/>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"_Toc19303"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第三章 合同文本</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_Toc19303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19</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939"/>
            <w:jc w:val="center"/>
            <w:spacing w:line="360" w:lineRule="auto"/>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"_Toc24319"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第四章 采购需求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_Toc24319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25</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939"/>
            <w:jc w:val="center"/>
            <w:spacing w:line="360" w:lineRule="auto"/>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"_Toc255"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第五章 评审方法和评审标准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_Toc255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3</w:t>
          </w: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939"/>
            <w:jc w:val="center"/>
            <w:spacing w:line="360" w:lineRule="auto"/>
            <w:tabs>
              <w:tab w:val="right" w:pos="9746" w:leader="dot"/>
            </w:tabs>
            <w:rPr>
              <w:rFonts w:hint="eastAsia" w:ascii="宋体" w:hAnsi="宋体" w:eastAsia="宋体" w:cs="宋体"/>
              <w:color w:val="auto"/>
              <w:sz w:val="28"/>
              <w:szCs w:val="28"/>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"_Toc9369"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第六章 响应文件格式</w:t>
          </w:r>
          <w:r>
            <w:rPr>
              <w:rFonts w:hint="eastAsia" w:ascii="宋体" w:hAnsi="宋体" w:eastAsia="宋体" w:cs="宋体"/>
              <w:color w:val="auto"/>
              <w:sz w:val="28"/>
              <w:szCs w:val="28"/>
              <w:highlight w:val="none"/>
            </w:rPr>
            <w:tab/>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fldChar w:fldCharType="end"/>
          </w:r>
          <w:r>
            <w:rPr>
              <w:rFonts w:hint="eastAsia" w:ascii="宋体" w:hAnsi="宋体" w:cs="宋体"/>
              <w:color w:val="auto"/>
              <w:sz w:val="28"/>
              <w:szCs w:val="28"/>
              <w:highlight w:val="none"/>
              <w:lang w:val="en-US" w:eastAsia="zh-CN"/>
            </w:rPr>
            <w:t xml:space="preserve">6</w:t>
          </w:r>
          <w:r/>
        </w:p>
        <w:p>
          <w:pPr>
            <w:jc w:val="center"/>
            <w:spacing w:line="360" w:lineRule="auto"/>
            <w:rPr>
              <w:rFonts w:hint="eastAsia" w:ascii="宋体" w:hAnsi="宋体" w:eastAsia="宋体" w:cs="宋体"/>
              <w:color w:val="auto"/>
              <w:sz w:val="44"/>
              <w:szCs w:val="44"/>
              <w:highlight w:val="none"/>
            </w:rPr>
          </w:pPr>
          <w:r>
            <w:rPr>
              <w:rFonts w:hint="eastAsia" w:ascii="宋体" w:hAnsi="宋体" w:eastAsia="宋体" w:cs="宋体"/>
              <w:color w:val="auto"/>
              <w:sz w:val="28"/>
              <w:szCs w:val="28"/>
              <w:highlight w:val="none"/>
            </w:rPr>
            <w:fldChar w:fldCharType="end"/>
          </w:r>
          <w:r/>
        </w:p>
      </w:sdtContent>
    </w:sdt>
    <w:p>
      <w:pPr>
        <w:pStyle w:val="687"/>
        <w:ind w:left="1470" w:right="1470"/>
        <w:rPr>
          <w:rFonts w:hint="eastAsia" w:ascii="宋体" w:hAnsi="宋体" w:eastAsia="宋体" w:cs="宋体"/>
          <w:color w:val="auto"/>
          <w:szCs w:val="44"/>
          <w:highlight w:val="none"/>
        </w:rPr>
      </w:pPr>
      <w:r>
        <w:rPr>
          <w:rFonts w:hint="eastAsia" w:ascii="宋体" w:hAnsi="宋体" w:eastAsia="宋体" w:cs="宋体"/>
          <w:color w:val="auto"/>
          <w:szCs w:val="44"/>
          <w:highlight w:val="none"/>
        </w:rPr>
      </w:r>
      <w:r/>
    </w:p>
    <w:p>
      <w:pPr>
        <w:pStyle w:val="687"/>
        <w:ind w:left="1470" w:right="1470"/>
        <w:rPr>
          <w:rFonts w:hint="eastAsia" w:ascii="宋体" w:hAnsi="宋体" w:eastAsia="宋体" w:cs="宋体"/>
          <w:color w:val="auto"/>
          <w:szCs w:val="44"/>
          <w:highlight w:val="none"/>
        </w:rPr>
      </w:pPr>
      <w:r>
        <w:rPr>
          <w:rFonts w:hint="eastAsia" w:ascii="宋体" w:hAnsi="宋体" w:eastAsia="宋体" w:cs="宋体"/>
          <w:color w:val="auto"/>
          <w:szCs w:val="44"/>
          <w:highlight w:val="none"/>
        </w:rPr>
      </w:r>
      <w:r/>
    </w:p>
    <w:p>
      <w:pPr>
        <w:pStyle w:val="687"/>
        <w:ind w:left="1470" w:right="1470"/>
        <w:rPr>
          <w:rFonts w:hint="eastAsia" w:ascii="宋体" w:hAnsi="宋体" w:eastAsia="宋体" w:cs="宋体"/>
          <w:color w:val="auto"/>
          <w:szCs w:val="44"/>
          <w:highlight w:val="none"/>
        </w:rPr>
      </w:pPr>
      <w:r>
        <w:rPr>
          <w:rFonts w:hint="eastAsia" w:ascii="宋体" w:hAnsi="宋体" w:eastAsia="宋体" w:cs="宋体"/>
          <w:color w:val="auto"/>
          <w:szCs w:val="44"/>
          <w:highlight w:val="none"/>
        </w:rPr>
      </w:r>
      <w:r/>
    </w:p>
    <w:p>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687"/>
        <w:jc w:val="left"/>
        <w:keepNext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7"/>
        <w:jc w:val="left"/>
        <w:keepNext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7"/>
        <w:jc w:val="left"/>
        <w:keepNext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7"/>
        <w:jc w:val="left"/>
        <w:keepNext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7"/>
        <w:jc w:val="left"/>
        <w:keepNext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7"/>
        <w:jc w:val="left"/>
        <w:keepNext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7"/>
        <w:keepNext w:val="0"/>
        <w:spacing w:line="360" w:lineRule="auto"/>
        <w:rPr>
          <w:rFonts w:hint="eastAsia" w:ascii="宋体" w:hAnsi="宋体" w:eastAsia="宋体" w:cs="宋体"/>
          <w:color w:val="auto"/>
          <w:highlight w:val="none"/>
        </w:rPr>
      </w:pPr>
      <w:r/>
      <w:bookmarkStart w:id="8" w:name="_Toc12508"/>
      <w:r/>
      <w:bookmarkStart w:id="9" w:name="_Toc18255"/>
      <w:r/>
      <w:bookmarkStart w:id="10" w:name="_Toc30400"/>
      <w:r>
        <w:rPr>
          <w:rFonts w:hint="eastAsia" w:ascii="宋体" w:hAnsi="宋体" w:eastAsia="宋体" w:cs="宋体"/>
          <w:color w:val="auto"/>
          <w:highlight w:val="none"/>
        </w:rPr>
        <w:t xml:space="preserve">第一章 竞争性磋商采购公告</w:t>
      </w:r>
      <w:bookmarkEnd w:id="8"/>
      <w:r/>
      <w:bookmarkEnd w:id="9"/>
      <w:r/>
      <w:bookmarkEnd w:id="10"/>
      <w:r/>
      <w:r/>
    </w:p>
    <w:p>
      <w:pPr>
        <w:ind w:firstLine="480"/>
        <w:spacing w:line="360" w:lineRule="auto"/>
        <w:rPr>
          <w:rFonts w:hint="eastAsia" w:ascii="宋体" w:hAnsi="宋体" w:eastAsia="宋体" w:cs="宋体"/>
          <w:color w:val="auto"/>
          <w:sz w:val="24"/>
          <w:szCs w:val="28"/>
          <w:highlight w:val="none"/>
          <w:u w:val="singl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8"/>
          <w:highlight w:val="none"/>
        </w:rPr>
        <w:t xml:space="preserve">项目概况：</w:t>
      </w:r>
      <w:r>
        <w:rPr>
          <w:rFonts w:hint="eastAsia" w:ascii="宋体" w:hAnsi="宋体" w:cs="宋体"/>
          <w:color w:val="auto"/>
          <w:sz w:val="24"/>
          <w:szCs w:val="28"/>
          <w:highlight w:val="none"/>
          <w:u w:val="single"/>
          <w:lang w:eastAsia="zh-CN"/>
        </w:rPr>
        <w:t xml:space="preserve">2024年秸秆离田收储利用能力提升项目（专门面向中小企业采购）</w:t>
      </w:r>
      <w:r>
        <w:rPr>
          <w:rFonts w:hint="eastAsia" w:ascii="宋体" w:hAnsi="宋体" w:eastAsia="宋体" w:cs="宋体"/>
          <w:color w:val="auto"/>
          <w:sz w:val="24"/>
          <w:szCs w:val="28"/>
          <w:highlight w:val="none"/>
        </w:rPr>
        <w:t xml:space="preserve">竞争性磋商项目的潜在供应商可在</w:t>
      </w:r>
      <w:r>
        <w:rPr>
          <w:rFonts w:hint="eastAsia" w:ascii="宋体" w:hAnsi="宋体" w:eastAsia="宋体" w:cs="宋体"/>
          <w:color w:val="auto"/>
          <w:sz w:val="24"/>
          <w:highlight w:val="none"/>
          <w:u w:val="single"/>
        </w:rPr>
        <w:t xml:space="preserve">“江苏政府采购网”自行免费下载</w:t>
      </w:r>
      <w:r>
        <w:rPr>
          <w:rFonts w:hint="eastAsia" w:ascii="宋体" w:hAnsi="宋体" w:eastAsia="宋体" w:cs="宋体"/>
          <w:color w:val="auto"/>
          <w:sz w:val="24"/>
          <w:highlight w:val="none"/>
        </w:rPr>
        <w:t xml:space="preserve">磋商文件</w:t>
      </w:r>
      <w:r>
        <w:rPr>
          <w:rFonts w:hint="eastAsia" w:ascii="宋体" w:hAnsi="宋体" w:eastAsia="宋体" w:cs="宋体"/>
          <w:color w:val="auto"/>
          <w:sz w:val="24"/>
          <w:szCs w:val="28"/>
          <w:highlight w:val="none"/>
        </w:rPr>
        <w:t xml:space="preserve">，并于</w:t>
      </w:r>
      <w:r>
        <w:rPr>
          <w:rFonts w:hint="eastAsia" w:ascii="宋体" w:hAnsi="宋体" w:eastAsia="宋体" w:cs="宋体"/>
          <w:b/>
          <w:bCs/>
          <w:color w:val="auto"/>
          <w:sz w:val="24"/>
          <w:szCs w:val="28"/>
          <w:highlight w:val="white"/>
          <w:u w:val="single"/>
        </w:rPr>
        <w:t xml:space="preserve">202</w:t>
      </w:r>
      <w:r>
        <w:rPr>
          <w:rFonts w:hint="eastAsia" w:ascii="宋体" w:hAnsi="宋体" w:eastAsia="宋体" w:cs="宋体"/>
          <w:b/>
          <w:bCs/>
          <w:color w:val="auto"/>
          <w:sz w:val="24"/>
          <w:szCs w:val="28"/>
          <w:highlight w:val="white"/>
          <w:u w:val="single"/>
          <w:lang w:val="en-US" w:eastAsia="zh-CN"/>
        </w:rPr>
        <w:t xml:space="preserve">5</w:t>
      </w:r>
      <w:r>
        <w:rPr>
          <w:rFonts w:hint="eastAsia" w:ascii="宋体" w:hAnsi="宋体" w:eastAsia="宋体" w:cs="宋体"/>
          <w:b/>
          <w:bCs/>
          <w:color w:val="auto"/>
          <w:sz w:val="24"/>
          <w:szCs w:val="28"/>
          <w:highlight w:val="white"/>
          <w:u w:val="single"/>
        </w:rPr>
        <w:t xml:space="preserve">年</w:t>
      </w:r>
      <w:r>
        <w:rPr>
          <w:rFonts w:hint="eastAsia" w:ascii="宋体" w:hAnsi="宋体" w:cs="宋体"/>
          <w:b/>
          <w:bCs/>
          <w:color w:val="auto"/>
          <w:sz w:val="24"/>
          <w:szCs w:val="28"/>
          <w:highlight w:val="white"/>
          <w:u w:val="single"/>
          <w:lang w:val="en-US" w:eastAsia="zh-CN"/>
        </w:rPr>
        <w:t xml:space="preserve">12</w:t>
      </w:r>
      <w:r>
        <w:rPr>
          <w:rFonts w:hint="eastAsia" w:ascii="宋体" w:hAnsi="宋体" w:eastAsia="宋体" w:cs="宋体"/>
          <w:b/>
          <w:bCs/>
          <w:color w:val="auto"/>
          <w:sz w:val="24"/>
          <w:szCs w:val="28"/>
          <w:highlight w:val="white"/>
          <w:u w:val="single"/>
        </w:rPr>
        <w:t xml:space="preserve">月</w:t>
      </w:r>
      <w:r>
        <w:rPr>
          <w:rFonts w:hint="eastAsia" w:ascii="宋体" w:hAnsi="宋体" w:cs="宋体"/>
          <w:b/>
          <w:bCs/>
          <w:color w:val="auto"/>
          <w:sz w:val="24"/>
          <w:szCs w:val="28"/>
          <w:highlight w:val="white"/>
          <w:u w:val="single"/>
          <w:lang w:val="en-US" w:eastAsia="zh-CN"/>
        </w:rPr>
        <w:t xml:space="preserve">01</w:t>
      </w:r>
      <w:r>
        <w:rPr>
          <w:rFonts w:hint="eastAsia" w:ascii="宋体" w:hAnsi="宋体" w:eastAsia="宋体" w:cs="宋体"/>
          <w:b/>
          <w:bCs/>
          <w:color w:val="auto"/>
          <w:sz w:val="24"/>
          <w:szCs w:val="28"/>
          <w:highlight w:val="white"/>
          <w:u w:val="single"/>
        </w:rPr>
        <w:t xml:space="preserve">日09时00分00秒</w:t>
      </w:r>
      <w:r>
        <w:rPr>
          <w:rFonts w:hint="eastAsia" w:ascii="宋体" w:hAnsi="宋体" w:eastAsia="宋体" w:cs="宋体"/>
          <w:color w:val="auto"/>
          <w:sz w:val="24"/>
          <w:szCs w:val="28"/>
          <w:highlight w:val="none"/>
        </w:rPr>
        <w:t xml:space="preserve">（北京时间）前递交响应文件。 </w:t>
      </w:r>
      <w:r/>
    </w:p>
    <w:p>
      <w:pPr>
        <w:spacing w:line="360" w:lineRule="auto"/>
        <w:rPr>
          <w:rFonts w:hint="eastAsia" w:ascii="宋体" w:hAnsi="宋体" w:eastAsia="宋体" w:cs="宋体"/>
          <w:b/>
          <w:color w:val="auto"/>
          <w:sz w:val="24"/>
          <w:highlight w:val="none"/>
        </w:rPr>
      </w:pPr>
      <w:r/>
      <w:bookmarkStart w:id="11" w:name="_Toc28359012"/>
      <w:r/>
      <w:bookmarkStart w:id="12" w:name="_Toc35393629"/>
      <w:r/>
      <w:bookmarkStart w:id="13" w:name="_Toc35393798"/>
      <w:r/>
      <w:bookmarkStart w:id="14" w:name="_Toc28359089"/>
      <w:r>
        <w:rPr>
          <w:rFonts w:hint="eastAsia" w:ascii="宋体" w:hAnsi="宋体" w:eastAsia="宋体" w:cs="宋体"/>
          <w:b/>
          <w:color w:val="auto"/>
          <w:sz w:val="24"/>
          <w:highlight w:val="none"/>
        </w:rPr>
        <w:t xml:space="preserve">一、项目基本情况</w:t>
      </w:r>
      <w:bookmarkEnd w:id="11"/>
      <w:r/>
      <w:bookmarkEnd w:id="12"/>
      <w:r/>
      <w:bookmarkEnd w:id="13"/>
      <w:r/>
      <w:bookmarkEnd w:id="14"/>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1、项目编号：JSZC-320707-YGHZ-C2025-0002</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2、项目名称：</w:t>
      </w:r>
      <w:r>
        <w:rPr>
          <w:rFonts w:hint="eastAsia" w:ascii="宋体" w:hAnsi="宋体" w:cs="宋体"/>
          <w:color w:val="auto"/>
          <w:sz w:val="24"/>
          <w:szCs w:val="28"/>
          <w:highlight w:val="none"/>
          <w:lang w:eastAsia="zh-CN"/>
        </w:rPr>
        <w:t xml:space="preserve">2024年秸秆离田收储利用能力提升项目（专门面向中小企业采购）</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3、预算金额（最高限价）：</w:t>
      </w:r>
      <w:r>
        <w:rPr>
          <w:rFonts w:hint="eastAsia" w:ascii="宋体" w:hAnsi="宋体" w:cs="宋体"/>
          <w:color w:val="auto"/>
          <w:sz w:val="24"/>
          <w:highlight w:val="none"/>
          <w:lang w:val="en-US" w:eastAsia="zh-CN"/>
        </w:rPr>
        <w:t xml:space="preserve">225.5</w:t>
      </w:r>
      <w:r>
        <w:rPr>
          <w:rFonts w:hint="eastAsia" w:ascii="宋体" w:hAnsi="宋体" w:eastAsia="宋体" w:cs="宋体"/>
          <w:bCs/>
          <w:color w:val="auto"/>
          <w:sz w:val="24"/>
          <w:highlight w:val="none"/>
        </w:rPr>
        <w:t xml:space="preserve">万元；</w:t>
      </w:r>
      <w:r>
        <w:rPr>
          <w:rFonts w:hint="eastAsia" w:ascii="宋体" w:hAnsi="宋体" w:eastAsia="宋体" w:cs="宋体"/>
          <w:b/>
          <w:bCs/>
          <w:color w:val="auto"/>
          <w:sz w:val="24"/>
          <w:highlight w:val="none"/>
        </w:rPr>
        <w:t xml:space="preserve">投标报价超过预算金额的投标无效</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szCs w:val="28"/>
          <w:highlight w:val="none"/>
          <w:lang w:eastAsia="zh-CN"/>
        </w:rPr>
      </w:pPr>
      <w:r>
        <w:rPr>
          <w:rFonts w:hint="eastAsia" w:ascii="宋体" w:hAnsi="宋体" w:eastAsia="宋体" w:cs="宋体"/>
          <w:color w:val="auto"/>
          <w:sz w:val="24"/>
          <w:szCs w:val="28"/>
          <w:highlight w:val="none"/>
        </w:rPr>
        <w:t xml:space="preserve">4、采购需求：</w:t>
      </w:r>
      <w:r>
        <w:rPr>
          <w:rFonts w:hint="eastAsia" w:ascii="宋体" w:hAnsi="宋体" w:cs="宋体"/>
          <w:color w:val="auto"/>
          <w:sz w:val="24"/>
          <w:szCs w:val="28"/>
          <w:highlight w:val="none"/>
          <w:lang w:eastAsia="zh-CN"/>
        </w:rPr>
        <w:t xml:space="preserve">为6个企业采购拖拉机、秸秆离田打捆机、玉米自走式青饲料收获机、粉碎机等设备</w:t>
      </w:r>
      <w:r>
        <w:rPr>
          <w:rFonts w:hint="eastAsia" w:ascii="宋体" w:hAnsi="宋体" w:cs="宋体"/>
          <w:color w:val="auto"/>
          <w:sz w:val="24"/>
          <w:szCs w:val="28"/>
          <w:highlight w:val="none"/>
          <w:lang w:val="en-US" w:eastAsia="zh-CN"/>
        </w:rPr>
        <w:t xml:space="preserve">,</w:t>
      </w:r>
      <w:r>
        <w:rPr>
          <w:rFonts w:hint="eastAsia" w:ascii="宋体" w:hAnsi="宋体" w:cs="宋体"/>
          <w:color w:val="auto"/>
          <w:sz w:val="24"/>
          <w:szCs w:val="28"/>
          <w:highlight w:val="none"/>
          <w:lang w:eastAsia="zh-CN"/>
        </w:rPr>
        <w:t xml:space="preserve">财政补助和企业自筹结合</w:t>
      </w:r>
      <w:r>
        <w:rPr>
          <w:rFonts w:hint="eastAsia" w:ascii="宋体" w:hAnsi="宋体" w:eastAsia="宋体" w:cs="宋体"/>
          <w:color w:val="auto"/>
          <w:sz w:val="24"/>
          <w:szCs w:val="28"/>
          <w:highlight w:val="none"/>
          <w:lang w:eastAsia="zh-CN"/>
        </w:rPr>
        <w:t xml:space="preserve">，具体要求详见招标文件第四章项目需求。</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对项目需求部分的询问、质疑请与采购人联系；</w:t>
      </w:r>
      <w:r/>
    </w:p>
    <w:p>
      <w:pPr>
        <w:pStyle w:val="974"/>
        <w:ind w:firstLine="480"/>
        <w:jc w:val="left"/>
        <w:spacing w:line="360" w:lineRule="auto"/>
        <w:rPr>
          <w:rFonts w:hint="eastAsia" w:ascii="宋体" w:hAnsi="宋体" w:eastAsia="宋体" w:cs="宋体"/>
          <w:bCs/>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、供货期限：</w:t>
      </w:r>
      <w:r>
        <w:rPr>
          <w:rFonts w:hint="eastAsia" w:ascii="宋体" w:hAnsi="宋体" w:cs="宋体"/>
          <w:color w:val="auto"/>
          <w:sz w:val="24"/>
          <w:szCs w:val="24"/>
          <w:highlight w:val="none"/>
          <w:lang w:eastAsia="zh-CN"/>
        </w:rPr>
        <w:t xml:space="preserve">15日历天完成供货、安装调试、验收合格并正常使用</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、本项目</w:t>
      </w:r>
      <w:r>
        <w:rPr>
          <w:rFonts w:hint="eastAsia" w:ascii="宋体" w:hAnsi="宋体" w:eastAsia="宋体" w:cs="宋体"/>
          <w:color w:val="auto"/>
          <w:sz w:val="24"/>
          <w:highlight w:val="none"/>
          <w:u w:val="single"/>
        </w:rPr>
        <w:t xml:space="preserve">不接受</w:t>
      </w:r>
      <w:r>
        <w:rPr>
          <w:rFonts w:hint="eastAsia" w:ascii="宋体" w:hAnsi="宋体" w:eastAsia="宋体" w:cs="宋体"/>
          <w:color w:val="auto"/>
          <w:sz w:val="24"/>
          <w:highlight w:val="none"/>
        </w:rPr>
        <w:t xml:space="preserve">联合体参与磋商。</w:t>
      </w:r>
      <w:r/>
    </w:p>
    <w:p>
      <w:pPr>
        <w:spacing w:line="360" w:lineRule="auto"/>
        <w:rPr>
          <w:rFonts w:hint="eastAsia" w:ascii="宋体" w:hAnsi="宋体" w:eastAsia="宋体" w:cs="宋体"/>
          <w:b/>
          <w:color w:val="auto"/>
          <w:sz w:val="24"/>
          <w:highlight w:val="none"/>
        </w:rPr>
      </w:pPr>
      <w:r/>
      <w:bookmarkStart w:id="15" w:name="_Toc35393799"/>
      <w:r/>
      <w:bookmarkStart w:id="16" w:name="_Toc35393630"/>
      <w:r/>
      <w:bookmarkStart w:id="17" w:name="_Toc28359090"/>
      <w:r/>
      <w:bookmarkStart w:id="18" w:name="_Toc28359013"/>
      <w:r>
        <w:rPr>
          <w:rFonts w:hint="eastAsia" w:ascii="宋体" w:hAnsi="宋体" w:eastAsia="宋体" w:cs="宋体"/>
          <w:b/>
          <w:color w:val="auto"/>
          <w:sz w:val="24"/>
          <w:highlight w:val="none"/>
        </w:rPr>
        <w:t xml:space="preserve">二、申请人的资格要求</w:t>
      </w:r>
      <w:bookmarkEnd w:id="15"/>
      <w:r/>
      <w:bookmarkEnd w:id="16"/>
      <w:r/>
      <w:bookmarkEnd w:id="17"/>
      <w:r/>
      <w:bookmarkEnd w:id="18"/>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1、满足《中华人民共和国政府采购法》第二十二条规定，并提供下列材料：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（1）法人或者其他组织的营业执照等证明文件，自然人的身份证明；</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（2）具有良好的商业信誉和健全的财务会计制度；（按连财购〔2023〕4号文件要求，符合要求的提交《财务状况报告及税收、社会保障资金缴纳情况承诺函》，并上传至电子响应文件中，详见采购文件）；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（3）依法缴纳税收和社会保障资金的相关材料；（按连财购〔2023〕4号文件要求，符合要求的提交《财务状况报告及税收、社会保障资金缴纳情况承诺函》，并上传至电子响应文件中，详见采购文件）；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（4）具备履行合同所必需的设备和专业技术能力的声明及证明材料；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（5）参加政府采购活动前三年内在经营活动中没有重大违法记录的书面声明；</w:t>
      </w:r>
      <w:r/>
    </w:p>
    <w:p>
      <w:pPr>
        <w:ind w:firstLine="480"/>
        <w:spacing w:line="360" w:lineRule="auto"/>
        <w:rPr>
          <w:rFonts w:hint="eastAsia" w:ascii="宋体" w:hAnsi="宋体" w:eastAsia="宋体" w:cs="宋体"/>
          <w:color w:val="auto"/>
          <w:sz w:val="24"/>
          <w:highlight w:val="none"/>
        </w:rPr>
      </w:pPr>
      <w:r/>
      <w:bookmarkStart w:id="19" w:name="_Toc28359014"/>
      <w:r/>
      <w:bookmarkStart w:id="20" w:name="_Toc28359091"/>
      <w:r>
        <w:rPr>
          <w:rFonts w:hint="eastAsia" w:ascii="宋体" w:hAnsi="宋体" w:eastAsia="宋体" w:cs="宋体"/>
          <w:color w:val="auto"/>
          <w:sz w:val="24"/>
          <w:highlight w:val="none"/>
        </w:rPr>
        <w:t xml:space="preserve">2、落实政府采购政策需满足的资格要求：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、支持中小企业发展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执行财政部、工业和信息化部关于印发《政府采购促进中小企业发展管理办法》的通知（财库〔2020〕46号）、苏财购[2022]45号，本项目专门面向中型企业、小型企业、微型企业、残疾人福利性单位、监狱企业进行采购，符合文件要求的供应商应提交《中小企业声明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供应商为残疾人福利性单位的，符合财库〔2017〕141号文件规定条件的残疾人福利性单位视同小型、微型企业，提供《残疾人福利性单位声明函》。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 供应商为监狱企业的，根据《财政部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、支持绿色发展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1 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.3 政府采购项目执行《财政部 生态环境部 工业和信息化部关于印发&lt;绿色数据中心政府采购需求标准（试行）&gt;的通知》（财库〔2023〕7号）相关要求。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.4 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3、本项目的特定资格要求：</w:t>
      </w:r>
      <w:r>
        <w:rPr>
          <w:rFonts w:hint="eastAsia" w:ascii="宋体" w:hAnsi="宋体" w:eastAsia="宋体" w:cs="宋体"/>
          <w:color w:val="auto"/>
          <w:sz w:val="24"/>
          <w:highlight w:val="none"/>
          <w:lang w:val="en-US" w:eastAsia="zh-CN"/>
        </w:rPr>
        <w:t xml:space="preserve">无</w:t>
      </w:r>
      <w:r>
        <w:rPr>
          <w:rFonts w:hint="eastAsia" w:ascii="宋体" w:hAnsi="宋体" w:eastAsia="宋体" w:cs="宋体"/>
          <w:color w:val="auto"/>
          <w:sz w:val="24"/>
          <w:highlight w:val="none"/>
        </w:rPr>
        <w:t xml:space="preserve">。</w:t>
      </w:r>
      <w:r/>
    </w:p>
    <w:p>
      <w:pPr>
        <w:ind w:firstLine="480"/>
        <w:jc w:val="left"/>
        <w:spacing w:line="520" w:lineRule="exact"/>
        <w:rPr>
          <w:rFonts w:ascii="宋体" w:hAnsi="宋体" w:cs="宋体"/>
          <w:sz w:val="24"/>
          <w:szCs w:val="24"/>
        </w:rPr>
      </w:pPr>
      <w:r/>
      <w:bookmarkStart w:id="21" w:name="_Toc35393631"/>
      <w:r/>
      <w:bookmarkStart w:id="22" w:name="_Toc35393800"/>
      <w:r>
        <w:rPr>
          <w:rFonts w:hint="eastAsia" w:ascii="宋体" w:hAnsi="宋体" w:cs="宋体"/>
          <w:sz w:val="24"/>
          <w:szCs w:val="24"/>
        </w:rPr>
        <w:t xml:space="preserve">4.本项目的其他资格要求：</w:t>
      </w:r>
      <w:r/>
    </w:p>
    <w:p>
      <w:pPr>
        <w:ind w:firstLine="480"/>
        <w:jc w:val="left"/>
        <w:spacing w:line="520" w:lineRule="exact"/>
        <w:rPr>
          <w:rFonts w:hint="eastAsia" w:ascii="宋体" w:hAnsi="宋体" w:cs="宋体"/>
          <w:sz w:val="24"/>
          <w:szCs w:val="24"/>
        </w:rPr>
      </w:pPr>
      <w:r>
        <w:rPr>
          <w:rFonts w:hint="eastAsia" w:ascii="宋体" w:hAnsi="宋体" w:cs="宋体"/>
          <w:sz w:val="24"/>
          <w:szCs w:val="24"/>
        </w:rPr>
        <w:t xml:space="preserve">（1）资格审查现场查询时，被信用中国、中国政府采购网列入失信被执行人、税收违法黑名单、政府采购严重违法失信行为记录名单的投标人，拒绝其参与政府采购活动。</w:t>
      </w:r>
      <w:r/>
    </w:p>
    <w:p>
      <w:pPr>
        <w:ind w:firstLine="480"/>
        <w:jc w:val="left"/>
        <w:spacing w:line="52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（2）供应商/投标主体及其法定代表人、项目负责人未被列入“连云港市赣榆区行贿人联合惩戒信息库。”</w:t>
      </w:r>
      <w:r/>
    </w:p>
    <w:p>
      <w:pPr>
        <w:ind w:firstLine="480"/>
        <w:jc w:val="left"/>
        <w:spacing w:line="520" w:lineRule="exac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备注：采购人/招标人和区公共资源交易中心通过赣榆区行贿人联合惩戒信息库，对供应</w:t>
      </w:r>
      <w:r>
        <w:rPr>
          <w:rFonts w:hint="eastAsia" w:ascii="宋体" w:hAnsi="宋体" w:eastAsia="宋体" w:cs="宋体"/>
          <w:sz w:val="24"/>
          <w:szCs w:val="24"/>
          <w:lang w:val="en-US" w:eastAsia="zh-CN"/>
        </w:rPr>
        <w:t xml:space="preserve">商/投标主体情况进行内部查询，查询结果页面打印留存。</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（3）中标后不允许分包或转包。</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5.法律法规规定的其他条件</w:t>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三、获取</w:t>
      </w:r>
      <w:bookmarkEnd w:id="19"/>
      <w:r/>
      <w:bookmarkEnd w:id="20"/>
      <w:r/>
      <w:bookmarkEnd w:id="21"/>
      <w:r/>
      <w:bookmarkEnd w:id="22"/>
      <w:r>
        <w:rPr>
          <w:rFonts w:hint="eastAsia" w:ascii="宋体" w:hAnsi="宋体" w:eastAsia="宋体" w:cs="宋体"/>
          <w:b/>
          <w:color w:val="auto"/>
          <w:sz w:val="24"/>
          <w:highlight w:val="none"/>
        </w:rPr>
        <w:t xml:space="preserve">磋商文件</w:t>
      </w:r>
      <w:r/>
    </w:p>
    <w:p>
      <w:pPr>
        <w:ind w:firstLine="480"/>
        <w:spacing w:line="360" w:lineRule="auto"/>
        <w:rPr>
          <w:rFonts w:hint="eastAsia" w:ascii="宋体" w:hAnsi="宋体" w:eastAsia="宋体" w:cs="宋体"/>
          <w:color w:val="auto"/>
          <w:sz w:val="24"/>
          <w:highlight w:val="none"/>
        </w:rPr>
      </w:pPr>
      <w:r/>
      <w:bookmarkStart w:id="23" w:name="_Toc28359015"/>
      <w:r/>
      <w:bookmarkStart w:id="24" w:name="_Toc35393801"/>
      <w:r/>
      <w:bookmarkStart w:id="25" w:name="_Toc28359092"/>
      <w:r/>
      <w:bookmarkStart w:id="26" w:name="_Toc35393632"/>
      <w:r>
        <w:rPr>
          <w:rFonts w:hint="eastAsia" w:ascii="宋体" w:hAnsi="宋体" w:eastAsia="宋体" w:cs="宋体"/>
          <w:color w:val="auto"/>
          <w:sz w:val="24"/>
          <w:highlight w:val="none"/>
        </w:rPr>
        <w:t xml:space="preserve">1、时间：自磋商文件公告发布之日起5个工作日。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2、方式：在“江苏政府采购网”自行免费下载磋商文件。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3、售价：0元。</w:t>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四、</w:t>
      </w:r>
      <w:bookmarkEnd w:id="23"/>
      <w:r/>
      <w:bookmarkEnd w:id="24"/>
      <w:r/>
      <w:bookmarkEnd w:id="25"/>
      <w:r/>
      <w:bookmarkEnd w:id="26"/>
      <w:r/>
      <w:bookmarkStart w:id="27" w:name="_Toc20177"/>
      <w:r/>
      <w:bookmarkStart w:id="28" w:name="_Toc35393803"/>
      <w:r/>
      <w:bookmarkStart w:id="29" w:name="_Toc28359094"/>
      <w:r/>
      <w:bookmarkStart w:id="30" w:name="_Toc28359017"/>
      <w:r/>
      <w:bookmarkStart w:id="31" w:name="_Toc35393634"/>
      <w:r>
        <w:rPr>
          <w:rFonts w:hint="eastAsia" w:ascii="宋体" w:hAnsi="宋体" w:eastAsia="宋体" w:cs="宋体"/>
          <w:b/>
          <w:color w:val="auto"/>
          <w:sz w:val="24"/>
          <w:highlight w:val="none"/>
        </w:rPr>
        <w:t xml:space="preserve">电子响应文件递交及开标时间和地点</w:t>
      </w:r>
      <w:bookmarkEnd w:id="27"/>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1、响应文件接收截止时间：</w:t>
      </w:r>
      <w:r>
        <w:rPr>
          <w:rFonts w:hint="eastAsia" w:ascii="宋体" w:hAnsi="宋体" w:eastAsia="宋体" w:cs="宋体"/>
          <w:color w:val="auto"/>
          <w:sz w:val="24"/>
          <w:szCs w:val="28"/>
          <w:highlight w:val="white"/>
        </w:rPr>
        <w:t xml:space="preserve">202</w:t>
      </w:r>
      <w:r>
        <w:rPr>
          <w:rFonts w:hint="eastAsia" w:ascii="宋体" w:hAnsi="宋体" w:eastAsia="宋体" w:cs="宋体"/>
          <w:color w:val="auto"/>
          <w:sz w:val="24"/>
          <w:szCs w:val="28"/>
          <w:highlight w:val="white"/>
          <w:lang w:val="en-US" w:eastAsia="zh-CN"/>
        </w:rPr>
        <w:t xml:space="preserve">5</w:t>
      </w:r>
      <w:r>
        <w:rPr>
          <w:rFonts w:hint="eastAsia" w:ascii="宋体" w:hAnsi="宋体" w:eastAsia="宋体" w:cs="宋体"/>
          <w:color w:val="auto"/>
          <w:sz w:val="24"/>
          <w:szCs w:val="28"/>
          <w:highlight w:val="white"/>
        </w:rPr>
        <w:t xml:space="preserve">年</w:t>
      </w:r>
      <w:r>
        <w:rPr>
          <w:rFonts w:hint="eastAsia" w:ascii="宋体" w:hAnsi="宋体" w:cs="宋体"/>
          <w:color w:val="auto"/>
          <w:sz w:val="24"/>
          <w:szCs w:val="28"/>
          <w:highlight w:val="white"/>
          <w:lang w:val="en-US" w:eastAsia="zh-CN"/>
        </w:rPr>
        <w:t xml:space="preserve">12</w:t>
      </w:r>
      <w:r>
        <w:rPr>
          <w:rFonts w:hint="eastAsia" w:ascii="宋体" w:hAnsi="宋体" w:eastAsia="宋体" w:cs="宋体"/>
          <w:color w:val="auto"/>
          <w:sz w:val="24"/>
          <w:szCs w:val="28"/>
          <w:highlight w:val="white"/>
        </w:rPr>
        <w:t xml:space="preserve">月</w:t>
      </w:r>
      <w:r>
        <w:rPr>
          <w:rFonts w:hint="eastAsia" w:ascii="宋体" w:hAnsi="宋体" w:cs="宋体"/>
          <w:color w:val="auto"/>
          <w:sz w:val="24"/>
          <w:szCs w:val="28"/>
          <w:highlight w:val="white"/>
          <w:lang w:val="en-US" w:eastAsia="zh-CN"/>
        </w:rPr>
        <w:t xml:space="preserve">01</w:t>
      </w:r>
      <w:r>
        <w:rPr>
          <w:rFonts w:hint="eastAsia" w:ascii="宋体" w:hAnsi="宋体" w:eastAsia="宋体" w:cs="宋体"/>
          <w:color w:val="auto"/>
          <w:sz w:val="24"/>
          <w:szCs w:val="28"/>
          <w:highlight w:val="white"/>
        </w:rPr>
        <w:t xml:space="preserve">日09:00:00</w:t>
      </w:r>
      <w:r>
        <w:rPr>
          <w:rFonts w:hint="eastAsia" w:ascii="宋体" w:hAnsi="宋体" w:eastAsia="宋体" w:cs="宋体"/>
          <w:color w:val="auto"/>
          <w:sz w:val="24"/>
          <w:szCs w:val="28"/>
          <w:highlight w:val="none"/>
        </w:rPr>
        <w:t xml:space="preserve">（北京时间）；</w:t>
      </w:r>
      <w:r>
        <w:rPr>
          <w:rFonts w:hint="eastAsia" w:ascii="宋体" w:hAnsi="宋体" w:eastAsia="宋体" w:cs="宋体"/>
          <w:color w:val="auto"/>
          <w:sz w:val="24"/>
          <w:highlight w:val="none"/>
        </w:rPr>
        <w:t xml:space="preserve">逾时，交易系统将拒绝接受上</w:t>
      </w:r>
      <w:r>
        <w:rPr>
          <w:rFonts w:hint="eastAsia" w:ascii="宋体" w:hAnsi="宋体" w:eastAsia="宋体" w:cs="宋体"/>
          <w:color w:val="auto"/>
          <w:sz w:val="24"/>
          <w:szCs w:val="28"/>
          <w:highlight w:val="none"/>
        </w:rPr>
        <w:t xml:space="preserve">传响应文件电子文档。</w:t>
      </w:r>
      <w:r/>
    </w:p>
    <w:p>
      <w:pPr>
        <w:ind w:firstLine="480"/>
        <w:spacing w:line="360" w:lineRule="auto"/>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t xml:space="preserve">注：本项目采购方式为竞争性磋商，评审过程中依次有磋商环节和二次（最后）报价环节，各供应商请及时关注开标大厅交流区，在开标结束后，请勿离开开标大厅。初步评审环节结束后苏彩云系统将通知供应商在规定时间内进行磋商及最后报价填报，如供应商因个人原因错过相应环节，责任自负。</w:t>
      </w:r>
      <w:r/>
    </w:p>
    <w:p>
      <w:pPr>
        <w:ind w:firstLine="480"/>
        <w:spacing w:line="360" w:lineRule="auto"/>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t xml:space="preserve">所有的响应供应商须在苏彩云系统规定时间内填写并提交最后报价，未在磋商小组规定的时间内完成最后报价的视为放弃磋商，其磋商响应按无效响应处理。</w:t>
      </w:r>
      <w:r/>
    </w:p>
    <w:p>
      <w:pPr>
        <w:ind w:firstLine="480"/>
        <w:spacing w:line="360" w:lineRule="auto"/>
        <w:rPr>
          <w:rFonts w:hint="eastAsia" w:ascii="宋体" w:hAnsi="宋体" w:eastAsia="宋体" w:cs="宋体"/>
          <w:color w:val="auto"/>
          <w:sz w:val="24"/>
          <w:szCs w:val="28"/>
          <w:highlight w:val="none"/>
        </w:rPr>
      </w:pPr>
      <w:r/>
      <w:bookmarkStart w:id="32" w:name="_Toc35393802"/>
      <w:r/>
      <w:bookmarkStart w:id="33" w:name="_Toc28359093"/>
      <w:r/>
      <w:bookmarkStart w:id="34" w:name="_Toc28359016"/>
      <w:r/>
      <w:bookmarkStart w:id="35" w:name="_Toc35393633"/>
      <w:r>
        <w:rPr>
          <w:rFonts w:hint="eastAsia" w:ascii="宋体" w:hAnsi="宋体" w:eastAsia="宋体" w:cs="宋体"/>
          <w:color w:val="auto"/>
          <w:sz w:val="24"/>
          <w:szCs w:val="28"/>
          <w:highlight w:val="none"/>
        </w:rPr>
        <w:t xml:space="preserve">2、线上开标地点：“苏采云”系统（网址：http://jszfcg.jsczt.cn/）“开标大厅”。</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3、响应文件的解密：开标当天各供应商及时登录不见面开标大厅，响应文件递交截止时间后，采购</w:t>
      </w:r>
      <w:r>
        <w:rPr>
          <w:rFonts w:hint="eastAsia" w:ascii="宋体" w:hAnsi="宋体" w:eastAsia="宋体" w:cs="宋体"/>
          <w:color w:val="auto"/>
          <w:sz w:val="24"/>
          <w:szCs w:val="28"/>
          <w:highlight w:val="none"/>
        </w:rPr>
        <w:t xml:space="preserve">人将在系统内公布供应商名单，然后通过开标会议区发出响应文件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招投标平台发生故障，导致无法按时完成响应文件解密或开、评标工作无法进行的，可根据实际情况相应延迟解密时间或调整开、评标时间。</w:t>
      </w:r>
      <w:bookmarkEnd w:id="32"/>
      <w:r/>
      <w:bookmarkEnd w:id="33"/>
      <w:r/>
      <w:bookmarkEnd w:id="34"/>
      <w:r/>
      <w:bookmarkEnd w:id="35"/>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五、</w:t>
      </w:r>
      <w:bookmarkEnd w:id="28"/>
      <w:r/>
      <w:bookmarkEnd w:id="29"/>
      <w:r/>
      <w:bookmarkEnd w:id="30"/>
      <w:r/>
      <w:bookmarkEnd w:id="31"/>
      <w:r>
        <w:rPr>
          <w:rFonts w:hint="eastAsia" w:ascii="宋体" w:hAnsi="宋体" w:eastAsia="宋体" w:cs="宋体"/>
          <w:b/>
          <w:color w:val="auto"/>
          <w:sz w:val="24"/>
          <w:highlight w:val="none"/>
        </w:rPr>
        <w:t xml:space="preserve">公告期限</w:t>
      </w:r>
      <w:r/>
    </w:p>
    <w:p>
      <w:pPr>
        <w:ind w:firstLine="480"/>
        <w:spacing w:line="360" w:lineRule="auto"/>
        <w:rPr>
          <w:rFonts w:hint="eastAsia" w:ascii="宋体" w:hAnsi="宋体" w:eastAsia="宋体" w:cs="宋体"/>
          <w:color w:val="auto"/>
          <w:sz w:val="24"/>
          <w:highlight w:val="none"/>
        </w:rPr>
      </w:pPr>
      <w:r/>
      <w:bookmarkStart w:id="36" w:name="_Toc35393626"/>
      <w:r/>
      <w:bookmarkStart w:id="37" w:name="_Toc35393795"/>
      <w:r/>
      <w:bookmarkStart w:id="38" w:name="_Toc38985268"/>
      <w:r>
        <w:rPr>
          <w:rFonts w:hint="eastAsia" w:ascii="宋体" w:hAnsi="宋体" w:eastAsia="宋体" w:cs="宋体"/>
          <w:color w:val="auto"/>
          <w:sz w:val="24"/>
          <w:highlight w:val="none"/>
        </w:rPr>
        <w:t xml:space="preserve">自本公告发布之日起3个工作日。</w:t>
      </w:r>
      <w:bookmarkEnd w:id="36"/>
      <w:r/>
      <w:bookmarkEnd w:id="37"/>
      <w:r/>
      <w:bookmarkEnd w:id="38"/>
      <w:r/>
      <w:r/>
    </w:p>
    <w:p>
      <w:pPr>
        <w:spacing w:line="360" w:lineRule="auto"/>
        <w:rPr>
          <w:rFonts w:hint="eastAsia" w:ascii="宋体" w:hAnsi="宋体" w:eastAsia="宋体" w:cs="宋体"/>
          <w:b/>
          <w:color w:val="auto"/>
          <w:sz w:val="24"/>
          <w:highlight w:val="none"/>
        </w:rPr>
      </w:pPr>
      <w:r/>
      <w:bookmarkStart w:id="39" w:name="_Toc35393635"/>
      <w:r/>
      <w:bookmarkStart w:id="40" w:name="_Toc35393804"/>
      <w:r>
        <w:rPr>
          <w:rFonts w:hint="eastAsia" w:ascii="宋体" w:hAnsi="宋体" w:eastAsia="宋体" w:cs="宋体"/>
          <w:b/>
          <w:color w:val="auto"/>
          <w:sz w:val="24"/>
          <w:highlight w:val="none"/>
        </w:rPr>
        <w:t xml:space="preserve">六、其他补充事宜</w:t>
      </w:r>
      <w:bookmarkEnd w:id="39"/>
      <w:r/>
      <w:bookmarkEnd w:id="40"/>
      <w:r>
        <w:rPr>
          <w:rFonts w:hint="eastAsia" w:ascii="宋体" w:hAnsi="宋体" w:eastAsia="宋体" w:cs="宋体"/>
          <w:b/>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1、本次磋商采购不收取保证金。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2、本磋商文件中标注★的款项为实质性响应要求和条件，如不满足将按无效响应文件处理。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无论出于何种原因，采购人在采购活动开始前可对采购文件进行修改、补充或变更，其内容作为采购文件的重要组成部分，请各供应商关注江苏政府采购网站。若因供应商自身原因未及时关注本项目有关修改、补充或变更信息，导致响应文件编制或提交失误，由此造成的一切损失由供应商自行承担。</w:t>
      </w:r>
      <w:r/>
    </w:p>
    <w:p>
      <w:pPr>
        <w:spacing w:line="360" w:lineRule="auto"/>
        <w:rPr>
          <w:rFonts w:hint="eastAsia" w:ascii="宋体" w:hAnsi="宋体" w:eastAsia="宋体" w:cs="宋体"/>
          <w:b/>
          <w:color w:val="auto"/>
          <w:sz w:val="24"/>
          <w:highlight w:val="none"/>
        </w:rPr>
      </w:pPr>
      <w:r/>
      <w:bookmarkStart w:id="41" w:name="_Toc28359095"/>
      <w:r/>
      <w:bookmarkStart w:id="42" w:name="_Toc35393805"/>
      <w:r/>
      <w:bookmarkStart w:id="43" w:name="_Toc28359018"/>
      <w:r/>
      <w:bookmarkStart w:id="44" w:name="_Toc35393636"/>
      <w:r>
        <w:rPr>
          <w:rFonts w:hint="eastAsia" w:ascii="宋体" w:hAnsi="宋体" w:eastAsia="宋体" w:cs="宋体"/>
          <w:b/>
          <w:color w:val="auto"/>
          <w:sz w:val="24"/>
          <w:highlight w:val="none"/>
        </w:rPr>
        <w:t xml:space="preserve">七、</w:t>
      </w:r>
      <w:bookmarkEnd w:id="41"/>
      <w:r/>
      <w:bookmarkEnd w:id="42"/>
      <w:r/>
      <w:bookmarkEnd w:id="43"/>
      <w:r/>
      <w:bookmarkEnd w:id="44"/>
      <w:r>
        <w:rPr>
          <w:rFonts w:hint="eastAsia" w:ascii="宋体" w:hAnsi="宋体" w:eastAsia="宋体" w:cs="宋体"/>
          <w:b/>
          <w:color w:val="auto"/>
          <w:sz w:val="24"/>
          <w:highlight w:val="none"/>
        </w:rPr>
        <w:t xml:space="preserve">本次磋商联系方式</w:t>
      </w:r>
      <w:r/>
    </w:p>
    <w:p>
      <w:pPr>
        <w:ind w:firstLine="480"/>
        <w:spacing w:line="360" w:lineRule="auto"/>
        <w:rPr>
          <w:rFonts w:hint="eastAsia" w:ascii="宋体" w:hAnsi="宋体" w:eastAsia="宋体" w:cs="宋体"/>
          <w:color w:val="auto"/>
          <w:sz w:val="24"/>
          <w:highlight w:val="none"/>
        </w:rPr>
      </w:pPr>
      <w:r/>
      <w:bookmarkStart w:id="45" w:name="_Toc35393806"/>
      <w:r/>
      <w:bookmarkStart w:id="46" w:name="_Toc35393637"/>
      <w:r/>
      <w:bookmarkStart w:id="47" w:name="_Toc28359096"/>
      <w:r/>
      <w:bookmarkStart w:id="48" w:name="_Toc28359019"/>
      <w:r>
        <w:rPr>
          <w:rFonts w:hint="eastAsia" w:ascii="宋体" w:hAnsi="宋体" w:eastAsia="宋体" w:cs="宋体"/>
          <w:color w:val="auto"/>
          <w:sz w:val="24"/>
          <w:highlight w:val="none"/>
        </w:rPr>
        <w:t xml:space="preserve">1、采购人信息</w:t>
      </w:r>
      <w:bookmarkEnd w:id="45"/>
      <w:r/>
      <w:bookmarkEnd w:id="46"/>
      <w:r/>
      <w:bookmarkEnd w:id="47"/>
      <w:r/>
      <w:bookmarkEnd w:id="48"/>
      <w:r/>
      <w:r/>
    </w:p>
    <w:p>
      <w:pPr>
        <w:ind w:firstLine="480"/>
        <w:spacing w:line="360" w:lineRule="auto"/>
        <w:rPr>
          <w:rFonts w:hint="eastAsia" w:ascii="宋体" w:hAnsi="宋体" w:eastAsia="宋体" w:cs="宋体"/>
          <w:color w:val="auto"/>
          <w:sz w:val="24"/>
          <w:highlight w:val="none"/>
          <w:lang w:eastAsia="zh-CN"/>
        </w:rPr>
      </w:pPr>
      <w:r/>
      <w:bookmarkStart w:id="49" w:name="_Toc28359097"/>
      <w:r/>
      <w:bookmarkStart w:id="50" w:name="_Toc35393638"/>
      <w:r/>
      <w:bookmarkStart w:id="51" w:name="_Toc35393807"/>
      <w:r/>
      <w:bookmarkStart w:id="52" w:name="_Toc28359020"/>
      <w:r>
        <w:rPr>
          <w:rFonts w:hint="eastAsia" w:ascii="宋体" w:hAnsi="宋体" w:eastAsia="宋体" w:cs="宋体"/>
          <w:color w:val="auto"/>
          <w:sz w:val="24"/>
          <w:highlight w:val="none"/>
        </w:rPr>
        <w:t xml:space="preserve">名称：</w:t>
      </w:r>
      <w:r>
        <w:rPr>
          <w:rFonts w:hint="eastAsia" w:ascii="宋体" w:hAnsi="宋体" w:eastAsia="宋体" w:cs="宋体"/>
          <w:color w:val="auto"/>
          <w:sz w:val="24"/>
          <w:highlight w:val="none"/>
          <w:lang w:eastAsia="zh-CN"/>
        </w:rPr>
        <w:t xml:space="preserve">连云港市赣榆区农村能源环境保护办公室</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地址：连云港市赣榆区黄海东路303号</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联系人：</w:t>
      </w:r>
      <w:r>
        <w:rPr>
          <w:rFonts w:hint="eastAsia" w:ascii="宋体" w:hAnsi="宋体" w:cs="宋体"/>
          <w:color w:val="auto"/>
          <w:sz w:val="24"/>
          <w:highlight w:val="none"/>
          <w:lang w:val="en-US" w:eastAsia="zh-CN"/>
        </w:rPr>
        <w:t xml:space="preserve">王科</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联系方式：</w:t>
      </w:r>
      <w:r>
        <w:rPr>
          <w:rFonts w:hint="eastAsia" w:ascii="宋体" w:hAnsi="宋体" w:cs="宋体"/>
          <w:color w:val="auto"/>
          <w:sz w:val="24"/>
          <w:highlight w:val="none"/>
          <w:lang w:val="en-US" w:eastAsia="zh-CN"/>
        </w:rPr>
        <w:t xml:space="preserve">0518-87181818</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2、采购代理机构信息</w:t>
      </w:r>
      <w:bookmarkEnd w:id="49"/>
      <w:r/>
      <w:bookmarkEnd w:id="50"/>
      <w:r/>
      <w:bookmarkEnd w:id="51"/>
      <w:r/>
      <w:bookmarkEnd w:id="52"/>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名称：</w:t>
      </w:r>
      <w:r>
        <w:rPr>
          <w:rFonts w:hint="eastAsia" w:ascii="宋体" w:hAnsi="宋体" w:cs="宋体"/>
          <w:color w:val="auto"/>
          <w:sz w:val="24"/>
          <w:highlight w:val="none"/>
          <w:lang w:eastAsia="zh-CN"/>
        </w:rPr>
        <w:t xml:space="preserve">连云港衡致工程造价咨询有限公司</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地址：</w:t>
      </w:r>
      <w:r>
        <w:rPr>
          <w:rFonts w:hint="eastAsia" w:ascii="宋体" w:hAnsi="宋体" w:cs="宋体"/>
          <w:color w:val="auto"/>
          <w:sz w:val="24"/>
          <w:highlight w:val="none"/>
          <w:lang w:eastAsia="zh-CN"/>
        </w:rPr>
        <w:t xml:space="preserve">江苏省连云港市赣榆区青口镇富山东城海岸小区C区140号</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联系人：</w:t>
      </w:r>
      <w:r>
        <w:rPr>
          <w:rFonts w:hint="eastAsia" w:ascii="宋体" w:hAnsi="宋体" w:cs="宋体"/>
          <w:color w:val="auto"/>
          <w:sz w:val="24"/>
          <w:highlight w:val="none"/>
          <w:lang w:eastAsia="zh-CN"/>
        </w:rPr>
        <w:t xml:space="preserve">尹工</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联系方式：133377879959</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八、电子采购说明</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1、根据省财政厅《关</w:t>
      </w:r>
      <w:r>
        <w:rPr>
          <w:rFonts w:hint="eastAsia" w:ascii="宋体" w:hAnsi="宋体" w:eastAsia="宋体" w:cs="宋体"/>
          <w:color w:val="auto"/>
          <w:sz w:val="24"/>
          <w:highlight w:val="none"/>
        </w:rPr>
        <w:t xml:space="preserve">于更换全省政府采购交易系统C 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领取CA和办理电子签章{请至连云港市财政局(海州区海连中路66号)西门向南约20米，由铁门进入办理窗口办理。因交通条件限制，请尽量绿色出行。具体联系方式见《苏采云系统供应商操作手册》（以下简称《操作手册》）}、进行注册并按《操作手册》要求制作、上传电子响应文件。</w:t>
      </w:r>
      <w:r/>
    </w:p>
    <w:p>
      <w:pPr>
        <w:numPr>
          <w:ilvl w:val="0"/>
          <w:numId w:val="3"/>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有关本次磋商的事项若存在变动或修改，敬请及时关注“江苏政府采购网”发布的更正公告。</w:t>
      </w:r>
      <w:r/>
    </w:p>
    <w:p>
      <w:pPr>
        <w:jc w:val="center"/>
        <w:spacing w:line="360" w:lineRule="auto"/>
        <w:rPr>
          <w:rFonts w:hint="eastAsia" w:ascii="宋体" w:hAnsi="宋体" w:eastAsia="宋体" w:cs="宋体"/>
          <w:b/>
          <w:bCs/>
          <w:color w:val="auto"/>
          <w:sz w:val="44"/>
          <w:szCs w:val="44"/>
          <w:highlight w:val="none"/>
        </w:rPr>
        <w:outlineLvl w:val="0"/>
      </w:pPr>
      <w:r>
        <w:rPr>
          <w:rFonts w:hint="eastAsia" w:ascii="宋体" w:hAnsi="宋体" w:eastAsia="宋体" w:cs="宋体"/>
          <w:color w:val="auto"/>
          <w:sz w:val="24"/>
          <w:highlight w:val="none"/>
        </w:rPr>
        <w:br w:type="page" w:clear="all"/>
      </w:r>
      <w:bookmarkStart w:id="53" w:name="_Toc10836"/>
      <w:r/>
      <w:bookmarkStart w:id="54" w:name="_Toc7098"/>
      <w:r/>
      <w:bookmarkStart w:id="55" w:name="_Toc465856612"/>
      <w:r/>
      <w:bookmarkStart w:id="56" w:name="_Toc513029209"/>
      <w:r/>
      <w:bookmarkStart w:id="57" w:name="_Toc61149549"/>
      <w:r/>
      <w:bookmarkStart w:id="58" w:name="_Toc14577347"/>
      <w:r/>
      <w:bookmarkStart w:id="59" w:name="_Toc23310"/>
      <w:r>
        <w:rPr>
          <w:rFonts w:hint="eastAsia" w:ascii="宋体" w:hAnsi="宋体" w:eastAsia="宋体" w:cs="宋体"/>
          <w:b/>
          <w:color w:val="auto"/>
          <w:sz w:val="44"/>
          <w:szCs w:val="20"/>
          <w:highlight w:val="none"/>
        </w:rPr>
        <w:t xml:space="preserve">第二章 </w:t>
      </w:r>
      <w:bookmarkEnd w:id="53"/>
      <w:r/>
      <w:bookmarkEnd w:id="54"/>
      <w:r/>
      <w:bookmarkEnd w:id="55"/>
      <w:r>
        <w:rPr>
          <w:rFonts w:hint="eastAsia" w:ascii="宋体" w:hAnsi="宋体" w:eastAsia="宋体" w:cs="宋体"/>
          <w:b/>
          <w:color w:val="auto"/>
          <w:sz w:val="44"/>
          <w:szCs w:val="20"/>
          <w:highlight w:val="none"/>
        </w:rPr>
        <w:t xml:space="preserve">供应商须知</w:t>
      </w:r>
      <w:bookmarkEnd w:id="56"/>
      <w:r/>
      <w:bookmarkEnd w:id="57"/>
      <w:r/>
      <w:bookmarkEnd w:id="58"/>
      <w:r/>
      <w:bookmarkEnd w:id="59"/>
      <w:r/>
      <w:r/>
    </w:p>
    <w:p>
      <w:pPr>
        <w:ind w:firstLine="482"/>
        <w:jc w:val="left"/>
        <w:spacing w:line="360" w:lineRule="auto"/>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一、总则</w:t>
      </w:r>
      <w:r/>
    </w:p>
    <w:p>
      <w:pPr>
        <w:ind w:firstLine="480"/>
        <w:jc w:val="left"/>
        <w:spacing w:line="360" w:lineRule="auto"/>
        <w:tabs>
          <w:tab w:val="left" w:pos="900" w:leader="none"/>
        </w:tabs>
        <w:rPr>
          <w:rFonts w:hint="eastAsia" w:ascii="宋体" w:hAnsi="宋体" w:eastAsia="宋体" w:cs="宋体"/>
          <w:color w:val="auto"/>
          <w:sz w:val="24"/>
          <w:highlight w:val="none"/>
        </w:rPr>
      </w:pPr>
      <w:r/>
      <w:bookmarkStart w:id="60" w:name="_Toc20823276"/>
      <w:r/>
      <w:bookmarkStart w:id="61" w:name="_Toc16938520"/>
      <w:r/>
      <w:bookmarkStart w:id="62" w:name="_Toc458694821"/>
      <w:r/>
      <w:bookmarkStart w:id="63" w:name="_Toc513029204"/>
      <w:r>
        <w:rPr>
          <w:rFonts w:hint="eastAsia" w:ascii="宋体" w:hAnsi="宋体" w:eastAsia="宋体" w:cs="宋体"/>
          <w:color w:val="auto"/>
          <w:sz w:val="24"/>
          <w:highlight w:val="none"/>
        </w:rPr>
        <w:t xml:space="preserve">1</w:t>
      </w:r>
      <w:bookmarkEnd w:id="60"/>
      <w:r>
        <w:rPr>
          <w:rFonts w:hint="eastAsia" w:ascii="宋体" w:hAnsi="宋体" w:eastAsia="宋体" w:cs="宋体"/>
          <w:color w:val="auto"/>
          <w:sz w:val="24"/>
          <w:highlight w:val="none"/>
        </w:rPr>
        <w:t xml:space="preserve">、采购方式</w:t>
      </w:r>
      <w:bookmarkEnd w:id="61"/>
      <w:r/>
      <w:bookmarkEnd w:id="62"/>
      <w:r/>
      <w:bookmarkEnd w:id="63"/>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 本次政府采购活动采取竞争性磋商（以下简称磋商）方式，本磋商文件仅适用于磋商公告中所述项目。</w:t>
      </w:r>
      <w:r/>
    </w:p>
    <w:p>
      <w:pPr>
        <w:ind w:firstLine="480"/>
        <w:jc w:val="left"/>
        <w:spacing w:line="360" w:lineRule="auto"/>
        <w:tabs>
          <w:tab w:val="left" w:pos="900" w:leader="none"/>
        </w:tabs>
        <w:rPr>
          <w:rFonts w:hint="eastAsia" w:ascii="宋体" w:hAnsi="宋体" w:eastAsia="宋体" w:cs="宋体"/>
          <w:color w:val="auto"/>
          <w:sz w:val="24"/>
          <w:highlight w:val="none"/>
        </w:rPr>
      </w:pPr>
      <w:r/>
      <w:bookmarkStart w:id="64" w:name="_Toc20823277"/>
      <w:r/>
      <w:bookmarkStart w:id="65" w:name="_Toc513029205"/>
      <w:r/>
      <w:bookmarkStart w:id="66" w:name="_Toc16938521"/>
      <w:r>
        <w:rPr>
          <w:rFonts w:hint="eastAsia" w:ascii="宋体" w:hAnsi="宋体" w:eastAsia="宋体" w:cs="宋体"/>
          <w:color w:val="auto"/>
          <w:sz w:val="24"/>
          <w:highlight w:val="none"/>
        </w:rPr>
        <w:t xml:space="preserve">2、合格的</w:t>
      </w:r>
      <w:bookmarkEnd w:id="64"/>
      <w:r/>
      <w:bookmarkEnd w:id="65"/>
      <w:r/>
      <w:bookmarkEnd w:id="66"/>
      <w:r>
        <w:rPr>
          <w:rFonts w:hint="eastAsia" w:ascii="宋体" w:hAnsi="宋体" w:eastAsia="宋体" w:cs="宋体"/>
          <w:color w:val="auto"/>
          <w:sz w:val="24"/>
          <w:highlight w:val="none"/>
        </w:rPr>
        <w:t xml:space="preserve">供应商</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 满足磋商公告中供应商资格要求的规定。</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 满足本磋商文件实质性要求和条件的规定。</w:t>
      </w:r>
      <w:r/>
    </w:p>
    <w:p>
      <w:pPr>
        <w:ind w:firstLine="480"/>
        <w:jc w:val="left"/>
        <w:spacing w:line="360" w:lineRule="auto"/>
        <w:tabs>
          <w:tab w:val="left" w:pos="900" w:leader="none"/>
        </w:tabs>
        <w:rPr>
          <w:rFonts w:hint="eastAsia" w:ascii="宋体" w:hAnsi="宋体" w:eastAsia="宋体" w:cs="宋体"/>
          <w:color w:val="auto"/>
          <w:sz w:val="24"/>
          <w:highlight w:val="none"/>
        </w:rPr>
      </w:pPr>
      <w:r/>
      <w:bookmarkStart w:id="67" w:name="_Toc16938522"/>
      <w:r/>
      <w:bookmarkStart w:id="68" w:name="_Toc513029206"/>
      <w:r/>
      <w:bookmarkStart w:id="69" w:name="_Toc20823278"/>
      <w:r>
        <w:rPr>
          <w:rFonts w:hint="eastAsia" w:ascii="宋体" w:hAnsi="宋体" w:eastAsia="宋体" w:cs="宋体"/>
          <w:color w:val="auto"/>
          <w:sz w:val="24"/>
          <w:highlight w:val="none"/>
        </w:rPr>
        <w:t xml:space="preserve">3、适用法律</w:t>
      </w:r>
      <w:bookmarkEnd w:id="67"/>
      <w:r/>
      <w:bookmarkEnd w:id="68"/>
      <w:r/>
      <w:bookmarkEnd w:id="69"/>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 本次磋商及由此产生的合同受中华人民共和国有关的法律法规制约和保护。</w:t>
      </w:r>
      <w:r/>
    </w:p>
    <w:p>
      <w:pPr>
        <w:ind w:firstLine="480"/>
        <w:jc w:val="left"/>
        <w:spacing w:line="360" w:lineRule="auto"/>
        <w:tabs>
          <w:tab w:val="left" w:pos="900" w:leader="none"/>
        </w:tabs>
        <w:rPr>
          <w:rFonts w:hint="eastAsia" w:ascii="宋体" w:hAnsi="宋体" w:eastAsia="宋体" w:cs="宋体"/>
          <w:color w:val="auto"/>
          <w:sz w:val="24"/>
          <w:highlight w:val="none"/>
        </w:rPr>
      </w:pPr>
      <w:r/>
      <w:bookmarkStart w:id="70" w:name="_Toc462564067"/>
      <w:r/>
      <w:bookmarkStart w:id="71" w:name="_Toc16938523"/>
      <w:r/>
      <w:bookmarkStart w:id="72" w:name="_Toc20823279"/>
      <w:r/>
      <w:bookmarkStart w:id="73" w:name="_Toc513029207"/>
      <w:r>
        <w:rPr>
          <w:rFonts w:hint="eastAsia" w:ascii="宋体" w:hAnsi="宋体" w:eastAsia="宋体" w:cs="宋体"/>
          <w:color w:val="auto"/>
          <w:sz w:val="24"/>
          <w:highlight w:val="none"/>
        </w:rPr>
        <w:t xml:space="preserve">4、磋商费用</w:t>
      </w:r>
      <w:bookmarkEnd w:id="70"/>
      <w:r/>
      <w:bookmarkEnd w:id="71"/>
      <w:r/>
      <w:bookmarkEnd w:id="72"/>
      <w:r/>
      <w:bookmarkEnd w:id="73"/>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 供应商应自行承担所有与参加本次磋商有关的费用，无论磋商过程中的做法和结果如何，</w:t>
      </w:r>
      <w:r>
        <w:rPr>
          <w:rFonts w:hint="eastAsia" w:ascii="宋体" w:hAnsi="宋体" w:cs="宋体"/>
          <w:color w:val="auto"/>
          <w:sz w:val="24"/>
          <w:highlight w:val="none"/>
          <w:lang w:eastAsia="zh-CN"/>
        </w:rPr>
        <w:t xml:space="preserve">连云港衡致工程造价咨询有限公司</w:t>
      </w:r>
      <w:r>
        <w:rPr>
          <w:rFonts w:hint="eastAsia" w:ascii="宋体" w:hAnsi="宋体" w:eastAsia="宋体" w:cs="宋体"/>
          <w:color w:val="auto"/>
          <w:sz w:val="24"/>
          <w:highlight w:val="none"/>
        </w:rPr>
        <w:t xml:space="preserve">（以下简称代理机构）在任何情况下均无义务和责任承担这些费用。</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 本次磋商不收取标书工本费。</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4.3 本次磋商代理服务费由成交人在接收中标通知书前按江苏省招标投标协会苏招协【2022】002号文，关于印发《江苏省招标代理服务收费的指导意见》的通知”规定货物类标准的</w:t>
      </w:r>
      <w:r>
        <w:rPr>
          <w:rFonts w:hint="eastAsia" w:ascii="宋体" w:hAnsi="宋体" w:cs="宋体"/>
          <w:color w:val="auto"/>
          <w:sz w:val="24"/>
          <w:highlight w:val="none"/>
          <w:lang w:val="en-US" w:eastAsia="zh-CN"/>
        </w:rPr>
        <w:t xml:space="preserve">48</w:t>
      </w:r>
      <w:r>
        <w:rPr>
          <w:rFonts w:hint="eastAsia" w:ascii="宋体" w:hAnsi="宋体" w:eastAsia="宋体" w:cs="宋体"/>
          <w:color w:val="auto"/>
          <w:sz w:val="24"/>
          <w:highlight w:val="none"/>
        </w:rPr>
        <w:t xml:space="preserve">%一次性向代理机构支付。</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5、磋商文件的约束力</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 供应商一旦参加本项目采购活动，即被认为接受了本磋商文件的规定和约束。</w:t>
      </w:r>
      <w:r/>
    </w:p>
    <w:p>
      <w:pPr>
        <w:ind w:firstLine="482"/>
        <w:jc w:val="left"/>
        <w:spacing w:line="360" w:lineRule="auto"/>
        <w:tabs>
          <w:tab w:val="left" w:pos="900" w:leader="none"/>
        </w:tabs>
        <w:rPr>
          <w:rFonts w:hint="eastAsia" w:ascii="宋体" w:hAnsi="宋体" w:eastAsia="宋体" w:cs="宋体"/>
          <w:b/>
          <w:bCs/>
          <w:color w:val="auto"/>
          <w:sz w:val="24"/>
          <w:highlight w:val="none"/>
        </w:rPr>
      </w:pPr>
      <w:r/>
      <w:bookmarkStart w:id="74" w:name="_Toc120614215"/>
      <w:r/>
      <w:bookmarkStart w:id="75" w:name="_Toc16938525"/>
      <w:r/>
      <w:bookmarkStart w:id="76" w:name="_Toc20823281"/>
      <w:r>
        <w:rPr>
          <w:rFonts w:hint="eastAsia" w:ascii="宋体" w:hAnsi="宋体" w:eastAsia="宋体" w:cs="宋体"/>
          <w:b/>
          <w:bCs/>
          <w:color w:val="auto"/>
          <w:sz w:val="24"/>
          <w:highlight w:val="none"/>
        </w:rPr>
        <w:t xml:space="preserve">二、</w:t>
      </w:r>
      <w:bookmarkEnd w:id="74"/>
      <w:r/>
      <w:bookmarkEnd w:id="75"/>
      <w:r/>
      <w:bookmarkEnd w:id="76"/>
      <w:r>
        <w:rPr>
          <w:rFonts w:hint="eastAsia" w:ascii="宋体" w:hAnsi="宋体" w:eastAsia="宋体" w:cs="宋体"/>
          <w:b/>
          <w:bCs/>
          <w:color w:val="auto"/>
          <w:sz w:val="24"/>
          <w:highlight w:val="none"/>
        </w:rPr>
        <w:t xml:space="preserve">磋商文件</w:t>
      </w:r>
      <w:r/>
    </w:p>
    <w:p>
      <w:pPr>
        <w:ind w:firstLine="480"/>
        <w:jc w:val="left"/>
        <w:spacing w:line="360" w:lineRule="auto"/>
        <w:tabs>
          <w:tab w:val="left" w:pos="900" w:leader="none"/>
        </w:tabs>
        <w:rPr>
          <w:rFonts w:hint="eastAsia" w:ascii="宋体" w:hAnsi="宋体" w:eastAsia="宋体" w:cs="宋体"/>
          <w:color w:val="auto"/>
          <w:sz w:val="24"/>
          <w:highlight w:val="none"/>
        </w:rPr>
      </w:pPr>
      <w:r/>
      <w:bookmarkStart w:id="77" w:name="_Toc20823282"/>
      <w:r/>
      <w:bookmarkStart w:id="78" w:name="_Toc513029210"/>
      <w:r/>
      <w:bookmarkStart w:id="79" w:name="_Toc16938526"/>
      <w:r>
        <w:rPr>
          <w:rFonts w:hint="eastAsia" w:ascii="宋体" w:hAnsi="宋体" w:eastAsia="宋体" w:cs="宋体"/>
          <w:color w:val="auto"/>
          <w:sz w:val="24"/>
          <w:highlight w:val="none"/>
        </w:rPr>
        <w:t xml:space="preserve">6、磋商文件构成</w:t>
      </w:r>
      <w:bookmarkEnd w:id="77"/>
      <w:r/>
      <w:bookmarkEnd w:id="78"/>
      <w:r/>
      <w:bookmarkEnd w:id="79"/>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 磋商文件由以下部分组成：</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（1）竞争性磋商采购公告</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（2）供应商须知</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（3）合同文本</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（4）采购需求</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（5）评审方法与评审标准</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（6）响应文件格式</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请仔细检查磋商文件是否齐全，如有缺漏请立即与代理机构联系解决。</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7、磋商文件的澄清</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 任何要求对磋商文件进行澄清的供应商，应在响应文件提交截止时间5日前按磋商公告中的通讯地址，以书面形式通知代理机构。</w:t>
      </w:r>
      <w:r/>
    </w:p>
    <w:p>
      <w:pPr>
        <w:ind w:firstLine="480"/>
        <w:jc w:val="left"/>
        <w:spacing w:line="360" w:lineRule="auto"/>
        <w:tabs>
          <w:tab w:val="left" w:pos="900" w:leader="none"/>
        </w:tabs>
        <w:rPr>
          <w:rFonts w:hint="eastAsia" w:ascii="宋体" w:hAnsi="宋体" w:eastAsia="宋体" w:cs="宋体"/>
          <w:color w:val="auto"/>
          <w:sz w:val="24"/>
          <w:highlight w:val="none"/>
        </w:rPr>
      </w:pPr>
      <w:r/>
      <w:bookmarkStart w:id="80" w:name="_Toc462564071"/>
      <w:r/>
      <w:bookmarkStart w:id="81" w:name="_Toc513029212"/>
      <w:r/>
      <w:bookmarkStart w:id="82" w:name="_Toc20823284"/>
      <w:r/>
      <w:bookmarkStart w:id="83" w:name="_Toc16938528"/>
      <w:r>
        <w:rPr>
          <w:rFonts w:hint="eastAsia" w:ascii="宋体" w:hAnsi="宋体" w:eastAsia="宋体" w:cs="宋体"/>
          <w:color w:val="auto"/>
          <w:sz w:val="24"/>
          <w:highlight w:val="none"/>
        </w:rPr>
        <w:t xml:space="preserve">8、磋商文件的澄清和修改</w:t>
      </w:r>
      <w:bookmarkEnd w:id="80"/>
      <w:r/>
      <w:bookmarkEnd w:id="81"/>
      <w:r/>
      <w:bookmarkEnd w:id="82"/>
      <w:r/>
      <w:bookmarkEnd w:id="83"/>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8.1 在响应文件提交截止时间前，代理机构可以对磋商文件进行澄清和修改，澄清或者修改的内容作为磋商文件的组成部分。澄清或者修改的内容可能影响响应文件编制的，代理机构将在提交首次响应文件截止时间至少5日前，在“江苏政府采购网”上发布书面更正公告形式通知所有获取磋商文件的供应商，更正公告内容将作为磋商文件的组成部分，并对供应商具有约束力。不足5日的，代理机构将顺延提交首次响应文件截止时间。</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8.2 代理机构或采购人可以视采购项目的具体情况，组织供应商进行现场考察或召开磋商前答疑会，但不单独或分别组织只有一个供应商参加的现场考察和答疑会。</w:t>
      </w:r>
      <w:r/>
    </w:p>
    <w:p>
      <w:pPr>
        <w:ind w:firstLine="482"/>
        <w:jc w:val="left"/>
        <w:spacing w:line="360" w:lineRule="auto"/>
        <w:tabs>
          <w:tab w:val="left" w:pos="900" w:leader="none"/>
        </w:tabs>
        <w:rPr>
          <w:rFonts w:hint="eastAsia" w:ascii="宋体" w:hAnsi="宋体" w:eastAsia="宋体" w:cs="宋体"/>
          <w:b/>
          <w:bCs/>
          <w:color w:val="auto"/>
          <w:sz w:val="24"/>
          <w:highlight w:val="none"/>
        </w:rPr>
      </w:pPr>
      <w:r/>
      <w:bookmarkStart w:id="84" w:name="_Hlt26954830"/>
      <w:r/>
      <w:bookmarkEnd w:id="84"/>
      <w:r/>
      <w:bookmarkStart w:id="85" w:name="_Hlt26668969"/>
      <w:r/>
      <w:bookmarkEnd w:id="85"/>
      <w:r/>
      <w:bookmarkStart w:id="86" w:name="_Hlt26670345"/>
      <w:r/>
      <w:bookmarkEnd w:id="86"/>
      <w:r/>
      <w:bookmarkStart w:id="87" w:name="_Hlt26954832"/>
      <w:r/>
      <w:bookmarkEnd w:id="87"/>
      <w:r/>
      <w:bookmarkStart w:id="88" w:name="_Hlt26670348"/>
      <w:r/>
      <w:bookmarkEnd w:id="88"/>
      <w:r/>
      <w:bookmarkStart w:id="89" w:name="_Hlt26670354"/>
      <w:r/>
      <w:bookmarkEnd w:id="89"/>
      <w:r/>
      <w:bookmarkStart w:id="90" w:name="_Hlt26954828"/>
      <w:r/>
      <w:bookmarkEnd w:id="90"/>
      <w:r/>
      <w:bookmarkStart w:id="91" w:name="_Toc513029213"/>
      <w:r/>
      <w:bookmarkStart w:id="92" w:name="_Toc14577351"/>
      <w:r/>
      <w:bookmarkStart w:id="93" w:name="_Toc61149553"/>
      <w:r/>
      <w:bookmarkStart w:id="94" w:name="_Toc462564072"/>
      <w:r>
        <w:rPr>
          <w:rFonts w:hint="eastAsia" w:ascii="宋体" w:hAnsi="宋体" w:eastAsia="宋体" w:cs="宋体"/>
          <w:b/>
          <w:bCs/>
          <w:color w:val="auto"/>
          <w:sz w:val="24"/>
          <w:highlight w:val="none"/>
        </w:rPr>
        <w:t xml:space="preserve">三、响应文件的编制</w:t>
      </w:r>
      <w:bookmarkEnd w:id="91"/>
      <w:r/>
      <w:bookmarkEnd w:id="92"/>
      <w:r/>
      <w:bookmarkEnd w:id="93"/>
      <w:r/>
      <w:bookmarkEnd w:id="94"/>
      <w:r/>
      <w:r/>
    </w:p>
    <w:p>
      <w:pPr>
        <w:ind w:firstLine="480"/>
        <w:jc w:val="left"/>
        <w:spacing w:line="360" w:lineRule="auto"/>
        <w:tabs>
          <w:tab w:val="left" w:pos="900" w:leader="none"/>
        </w:tabs>
        <w:rPr>
          <w:rFonts w:hint="eastAsia" w:ascii="宋体" w:hAnsi="宋体" w:eastAsia="宋体" w:cs="宋体"/>
          <w:color w:val="auto"/>
          <w:sz w:val="24"/>
          <w:highlight w:val="none"/>
        </w:rPr>
      </w:pPr>
      <w:r/>
      <w:bookmarkStart w:id="95" w:name="_Toc20823286"/>
      <w:r/>
      <w:bookmarkStart w:id="96" w:name="_Toc16938530"/>
      <w:r/>
      <w:bookmarkStart w:id="97" w:name="_Toc462564073"/>
      <w:r/>
      <w:bookmarkStart w:id="98" w:name="_Toc513029214"/>
      <w:r>
        <w:rPr>
          <w:rFonts w:hint="eastAsia" w:ascii="宋体" w:hAnsi="宋体" w:eastAsia="宋体" w:cs="宋体"/>
          <w:color w:val="auto"/>
          <w:sz w:val="24"/>
          <w:highlight w:val="none"/>
        </w:rPr>
        <w:t xml:space="preserve">9、响应文件的语言及度量衡单位</w:t>
      </w:r>
      <w:bookmarkEnd w:id="95"/>
      <w:r/>
      <w:bookmarkEnd w:id="96"/>
      <w:r/>
      <w:bookmarkEnd w:id="97"/>
      <w:r/>
      <w:bookmarkEnd w:id="98"/>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9.1 供应商提交的响应文件以及供应商与代理机构就有关磋商的所有来往通知、函件和文件均应使用简体中文。</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9.2 除技术性能另有规定外，响应文件所使用的度量衡单位，均须采用国家法定计量单位。</w:t>
      </w:r>
      <w:r/>
    </w:p>
    <w:p>
      <w:pPr>
        <w:ind w:firstLine="480"/>
        <w:jc w:val="left"/>
        <w:spacing w:line="360" w:lineRule="auto"/>
        <w:tabs>
          <w:tab w:val="left" w:pos="900" w:leader="none"/>
        </w:tabs>
        <w:rPr>
          <w:rFonts w:hint="eastAsia" w:ascii="宋体" w:hAnsi="宋体" w:eastAsia="宋体" w:cs="宋体"/>
          <w:color w:val="auto"/>
          <w:sz w:val="24"/>
          <w:highlight w:val="none"/>
        </w:rPr>
      </w:pPr>
      <w:r/>
      <w:bookmarkStart w:id="99" w:name="_Toc513029215"/>
      <w:r/>
      <w:bookmarkStart w:id="100" w:name="_Toc20823287"/>
      <w:r/>
      <w:bookmarkStart w:id="101" w:name="_Toc462564074"/>
      <w:r/>
      <w:bookmarkStart w:id="102" w:name="_Toc16938531"/>
      <w:r>
        <w:rPr>
          <w:rFonts w:hint="eastAsia" w:ascii="宋体" w:hAnsi="宋体" w:eastAsia="宋体" w:cs="宋体"/>
          <w:color w:val="auto"/>
          <w:sz w:val="24"/>
          <w:highlight w:val="none"/>
        </w:rPr>
        <w:t xml:space="preserve">10、响应文件构成</w:t>
      </w:r>
      <w:bookmarkEnd w:id="99"/>
      <w:r/>
      <w:bookmarkEnd w:id="100"/>
      <w:r/>
      <w:bookmarkEnd w:id="101"/>
      <w:r/>
      <w:bookmarkEnd w:id="102"/>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 供应商编写的响应文件应包括资格证明文件、符合性证明文件、分项报价表、技术要求响应及偏离表、商务要求响应及偏离表、其他证明文件、磋商响应函等部分。</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 如标书制作工具中格式和内容与“江苏政府采购网”发布的磋商文件不一致，请以“江苏政府采购网”发布的磋商文件为准。</w:t>
      </w:r>
      <w:r/>
    </w:p>
    <w:p>
      <w:pPr>
        <w:ind w:firstLine="480"/>
        <w:jc w:val="left"/>
        <w:spacing w:line="360" w:lineRule="auto"/>
        <w:tabs>
          <w:tab w:val="left" w:pos="900" w:leader="none"/>
        </w:tabs>
        <w:rPr>
          <w:rFonts w:hint="eastAsia" w:ascii="宋体" w:hAnsi="宋体" w:eastAsia="宋体" w:cs="宋体"/>
          <w:color w:val="auto"/>
          <w:sz w:val="24"/>
          <w:highlight w:val="none"/>
        </w:rPr>
      </w:pPr>
      <w:r/>
      <w:bookmarkStart w:id="103" w:name="_Toc49090508"/>
      <w:r/>
      <w:bookmarkStart w:id="104" w:name="_Toc49090507"/>
      <w:r/>
      <w:bookmarkStart w:id="105" w:name="_Toc14577357"/>
      <w:r/>
      <w:bookmarkStart w:id="106" w:name="_Toc513029219"/>
      <w:r/>
      <w:bookmarkStart w:id="107" w:name="_Toc14577354"/>
      <w:r/>
      <w:bookmarkStart w:id="108" w:name="_Toc49090509"/>
      <w:r/>
      <w:bookmarkStart w:id="109" w:name="_Toc513029216"/>
      <w:r>
        <w:rPr>
          <w:rFonts w:hint="eastAsia" w:ascii="宋体" w:hAnsi="宋体" w:eastAsia="宋体" w:cs="宋体"/>
          <w:color w:val="auto"/>
          <w:sz w:val="24"/>
          <w:highlight w:val="none"/>
        </w:rPr>
        <w:t xml:space="preserve">11、证明磋商响应标的符合磋商文件规定的文件</w:t>
      </w:r>
      <w:bookmarkEnd w:id="103"/>
      <w:r/>
      <w:bookmarkEnd w:id="104"/>
      <w:r/>
      <w:bookmarkEnd w:id="105"/>
      <w:r/>
      <w:bookmarkEnd w:id="106"/>
      <w:r/>
      <w:bookmarkEnd w:id="107"/>
      <w:r/>
      <w:bookmarkEnd w:id="108"/>
      <w:r/>
      <w:bookmarkEnd w:id="109"/>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 供应商应按照磋商文件要求提交证明文件，证明其及磋商响应标的符合磋商文件规定。</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 磋商文件对证明文件无明确形式要求的，证明文件可以以文字资料、图纸和数据等形式提交。</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11.3 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12、分项报价表</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12.1 供应商应按照磋商文件规定格式填报分项报价表。</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12.2 磋商货币。响应文件中的单价和总价无特殊规定的采用人民币报价，以元为单位标注。磋商文件中另有规定的按规定执行。</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13、技术要求响应及偏离表、商务要求响应及偏离表</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13.1 供应商需对磋商文件中的技术要求与商务要求逐项作出响应或偏离，并说明原因。</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13.2 供应商可在响应文件中提供认为需要的其他技术文件或说明。</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14、服务承诺、培训计划、人员安排及其他</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14.1 供应商需根据磋商文件要求提供有关售后服务的管理制度，售后服务机构的分布情况，售后服务人员的数量、素质、技术水平及售后服务的反应能力等。</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14.2 供应商需根据磋商文件要求提供培训计划。</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14.3 供应商需根据磋商文件要求提供磋商响应标的的主要组成部分、功能设计、实现思路及关键技术等。</w:t>
      </w:r>
      <w:r/>
    </w:p>
    <w:p>
      <w:pPr>
        <w:ind w:firstLine="480"/>
        <w:jc w:val="left"/>
        <w:spacing w:line="360" w:lineRule="auto"/>
        <w:tabs>
          <w:tab w:val="left" w:pos="900" w:leader="none"/>
        </w:tabs>
        <w:rPr>
          <w:rFonts w:hint="eastAsia" w:ascii="宋体" w:hAnsi="宋体" w:eastAsia="宋体" w:cs="宋体"/>
          <w:color w:val="auto"/>
          <w:sz w:val="24"/>
          <w:highlight w:val="none"/>
        </w:rPr>
      </w:pPr>
      <w:r/>
      <w:bookmarkStart w:id="110" w:name="_Toc49090510"/>
      <w:r>
        <w:rPr>
          <w:rFonts w:hint="eastAsia" w:ascii="宋体" w:hAnsi="宋体" w:eastAsia="宋体" w:cs="宋体"/>
          <w:color w:val="auto"/>
          <w:sz w:val="24"/>
          <w:highlight w:val="none"/>
        </w:rPr>
        <w:t xml:space="preserve">15、磋商响应函</w:t>
      </w:r>
      <w:bookmarkEnd w:id="110"/>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15.1 供应商应按照磋商文件中提供的格式完整、正确填写磋商响应函。</w:t>
      </w:r>
      <w:r/>
    </w:p>
    <w:p>
      <w:pPr>
        <w:ind w:firstLine="480"/>
        <w:jc w:val="left"/>
        <w:spacing w:line="360" w:lineRule="auto"/>
        <w:tabs>
          <w:tab w:val="left" w:pos="900" w:leader="none"/>
        </w:tabs>
        <w:rPr>
          <w:rFonts w:hint="eastAsia" w:ascii="宋体" w:hAnsi="宋体" w:eastAsia="宋体" w:cs="宋体"/>
          <w:color w:val="auto"/>
          <w:sz w:val="24"/>
          <w:highlight w:val="none"/>
        </w:rPr>
      </w:pPr>
      <w:r/>
      <w:bookmarkStart w:id="111" w:name="_Toc14577360"/>
      <w:r/>
      <w:bookmarkStart w:id="112" w:name="_Toc49090511"/>
      <w:r>
        <w:rPr>
          <w:rFonts w:hint="eastAsia" w:ascii="宋体" w:hAnsi="宋体" w:eastAsia="宋体" w:cs="宋体"/>
          <w:color w:val="auto"/>
          <w:sz w:val="24"/>
          <w:highlight w:val="none"/>
        </w:rPr>
        <w:t xml:space="preserve">16、磋商有效期</w:t>
      </w:r>
      <w:bookmarkEnd w:id="111"/>
      <w:r/>
      <w:bookmarkEnd w:id="112"/>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 磋商有效期为代理机构规定的提交响应文件截止之日后</w:t>
      </w:r>
      <w:r>
        <w:rPr>
          <w:rFonts w:hint="eastAsia" w:ascii="宋体" w:hAnsi="宋体" w:eastAsia="宋体" w:cs="宋体"/>
          <w:color w:val="auto"/>
          <w:sz w:val="24"/>
          <w:highlight w:val="none"/>
          <w:u w:val="single"/>
        </w:rPr>
        <w:t xml:space="preserve">六十（60）</w:t>
      </w:r>
      <w:r>
        <w:rPr>
          <w:rFonts w:hint="eastAsia" w:ascii="宋体" w:hAnsi="宋体" w:eastAsia="宋体" w:cs="宋体"/>
          <w:color w:val="auto"/>
          <w:sz w:val="24"/>
          <w:highlight w:val="none"/>
        </w:rPr>
        <w:t xml:space="preserve">天。磋商有效期比规定短的将被视为非实质性响应磋商文件而予以拒绝。</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17、磋商有效期的延长</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17.1 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受磋商有效期约束的所有权利与义务均延长至新的有效期。</w:t>
      </w:r>
      <w:r/>
    </w:p>
    <w:p>
      <w:pPr>
        <w:ind w:firstLine="482"/>
        <w:jc w:val="left"/>
        <w:spacing w:line="360" w:lineRule="auto"/>
        <w:tabs>
          <w:tab w:val="left" w:pos="900" w:leader="none"/>
        </w:tabs>
        <w:rPr>
          <w:rFonts w:hint="eastAsia" w:ascii="宋体" w:hAnsi="宋体" w:eastAsia="宋体" w:cs="宋体"/>
          <w:b/>
          <w:bCs/>
          <w:color w:val="auto"/>
          <w:sz w:val="24"/>
          <w:highlight w:val="none"/>
        </w:rPr>
      </w:pPr>
      <w:r/>
      <w:bookmarkStart w:id="113" w:name="_Hlt26670482"/>
      <w:r/>
      <w:bookmarkEnd w:id="113"/>
      <w:r/>
      <w:bookmarkStart w:id="114" w:name="_Hlt26954852"/>
      <w:r/>
      <w:bookmarkEnd w:id="114"/>
      <w:r/>
      <w:bookmarkStart w:id="115" w:name="_Hlt26954734"/>
      <w:r/>
      <w:bookmarkEnd w:id="115"/>
      <w:r/>
      <w:bookmarkStart w:id="116" w:name="_Hlt26670425"/>
      <w:r/>
      <w:bookmarkEnd w:id="116"/>
      <w:r/>
      <w:bookmarkStart w:id="117" w:name="_Hlt26670486"/>
      <w:r/>
      <w:bookmarkEnd w:id="117"/>
      <w:r/>
      <w:bookmarkStart w:id="118" w:name="_Hlt26954842"/>
      <w:r/>
      <w:bookmarkEnd w:id="118"/>
      <w:r/>
      <w:bookmarkStart w:id="119" w:name="_Hlt26954850"/>
      <w:r/>
      <w:bookmarkEnd w:id="119"/>
      <w:r/>
      <w:bookmarkStart w:id="120" w:name="_Hlt26954739"/>
      <w:r/>
      <w:bookmarkEnd w:id="120"/>
      <w:r/>
      <w:bookmarkStart w:id="121" w:name="_Hlt26954731"/>
      <w:r/>
      <w:bookmarkEnd w:id="121"/>
      <w:r/>
      <w:bookmarkStart w:id="122" w:name="_Hlt26954836"/>
      <w:r/>
      <w:bookmarkEnd w:id="122"/>
      <w:r/>
      <w:bookmarkStart w:id="123" w:name="_Hlt26954846"/>
      <w:r/>
      <w:bookmarkEnd w:id="123"/>
      <w:r/>
      <w:bookmarkStart w:id="124" w:name="_Hlt26954844"/>
      <w:r/>
      <w:bookmarkEnd w:id="124"/>
      <w:r/>
      <w:bookmarkStart w:id="125" w:name="_Hlt26954834"/>
      <w:r/>
      <w:bookmarkEnd w:id="125"/>
      <w:r/>
      <w:bookmarkStart w:id="126" w:name="_Hlt26670357"/>
      <w:r/>
      <w:bookmarkEnd w:id="126"/>
      <w:r/>
      <w:bookmarkStart w:id="127" w:name="_Hlt26954848"/>
      <w:r/>
      <w:bookmarkEnd w:id="127"/>
      <w:r/>
      <w:bookmarkStart w:id="128" w:name="_Hlt26954749"/>
      <w:r/>
      <w:bookmarkEnd w:id="128"/>
      <w:r/>
      <w:bookmarkStart w:id="129" w:name="_Hlt26670493"/>
      <w:r/>
      <w:bookmarkEnd w:id="129"/>
      <w:r/>
      <w:bookmarkStart w:id="130" w:name="_Hlt26668983"/>
      <w:r/>
      <w:bookmarkEnd w:id="130"/>
      <w:r/>
      <w:bookmarkStart w:id="131" w:name="_Hlt26954854"/>
      <w:r/>
      <w:bookmarkEnd w:id="131"/>
      <w:r/>
      <w:bookmarkStart w:id="132" w:name="_Hlt26670403"/>
      <w:r/>
      <w:bookmarkEnd w:id="132"/>
      <w:r/>
      <w:bookmarkStart w:id="133" w:name="_Hlt26670489"/>
      <w:r/>
      <w:bookmarkEnd w:id="133"/>
      <w:r/>
      <w:bookmarkStart w:id="134" w:name="_Toc120614217"/>
      <w:r/>
      <w:bookmarkStart w:id="135" w:name="_Toc20823296"/>
      <w:r/>
      <w:bookmarkStart w:id="136" w:name="_Toc16938540"/>
      <w:r/>
      <w:bookmarkStart w:id="137" w:name="_Toc513029224"/>
      <w:r/>
      <w:bookmarkStart w:id="138" w:name="_Toc14577362"/>
      <w:r/>
      <w:bookmarkStart w:id="139" w:name="_Toc61149562"/>
      <w:r>
        <w:rPr>
          <w:rFonts w:hint="eastAsia" w:ascii="宋体" w:hAnsi="宋体" w:eastAsia="宋体" w:cs="宋体"/>
          <w:b/>
          <w:bCs/>
          <w:color w:val="auto"/>
          <w:sz w:val="24"/>
          <w:highlight w:val="none"/>
        </w:rPr>
        <w:t xml:space="preserve">四、响应文件的递交</w:t>
      </w:r>
      <w:bookmarkEnd w:id="134"/>
      <w:r/>
      <w:bookmarkEnd w:id="135"/>
      <w:r/>
      <w:bookmarkEnd w:id="136"/>
      <w:r/>
      <w:r/>
    </w:p>
    <w:p>
      <w:pPr>
        <w:ind w:firstLine="480"/>
        <w:jc w:val="left"/>
        <w:spacing w:line="360" w:lineRule="auto"/>
        <w:tabs>
          <w:tab w:val="left" w:pos="900" w:leader="none"/>
        </w:tabs>
        <w:rPr>
          <w:rFonts w:hint="eastAsia" w:ascii="宋体" w:hAnsi="宋体" w:eastAsia="宋体" w:cs="宋体"/>
          <w:color w:val="auto"/>
          <w:sz w:val="24"/>
          <w:highlight w:val="none"/>
        </w:rPr>
      </w:pPr>
      <w:r/>
      <w:bookmarkStart w:id="140" w:name="_Toc16938541"/>
      <w:r/>
      <w:bookmarkStart w:id="141" w:name="_Toc20823297"/>
      <w:r/>
      <w:bookmarkStart w:id="142" w:name="_Toc462564084"/>
      <w:r/>
      <w:bookmarkStart w:id="143" w:name="_Toc513029225"/>
      <w:r>
        <w:rPr>
          <w:rFonts w:hint="eastAsia" w:ascii="宋体" w:hAnsi="宋体" w:eastAsia="宋体" w:cs="宋体"/>
          <w:color w:val="auto"/>
          <w:sz w:val="24"/>
          <w:highlight w:val="none"/>
        </w:rPr>
        <w:t xml:space="preserve">18、电子磋商</w:t>
      </w:r>
      <w:bookmarkEnd w:id="140"/>
      <w:r/>
      <w:bookmarkEnd w:id="141"/>
      <w:r/>
      <w:bookmarkEnd w:id="142"/>
      <w:r/>
      <w:bookmarkEnd w:id="143"/>
      <w:r>
        <w:rPr>
          <w:rFonts w:hint="eastAsia" w:ascii="宋体" w:hAnsi="宋体" w:eastAsia="宋体" w:cs="宋体"/>
          <w:color w:val="auto"/>
          <w:sz w:val="24"/>
          <w:highlight w:val="none"/>
        </w:rPr>
        <w:t xml:space="preserve">响应文件的递交</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 供应商应当按照《操作手册》规定，在提交响应文件截止时间前制作并上传电子响应文件。</w:t>
      </w:r>
      <w:bookmarkStart w:id="144" w:name="_Toc16938542"/>
      <w:r/>
      <w:bookmarkEnd w:id="144"/>
      <w:r/>
      <w:bookmarkStart w:id="145" w:name="_Toc20823298"/>
      <w:r/>
      <w:bookmarkEnd w:id="145"/>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19、提交响应文件截止时间</w:t>
      </w:r>
      <w:r/>
    </w:p>
    <w:p>
      <w:pPr>
        <w:pStyle w:val="731"/>
        <w:ind w:firstLine="480"/>
        <w:jc w:val="both"/>
        <w:spacing w:before="0" w:beforeAutospacing="0" w:after="0" w:afterAutospacing="0" w:line="360" w:lineRule="auto"/>
        <w:widowControl w:val="off"/>
        <w:rPr>
          <w:rFonts w:hint="eastAsia" w:ascii="宋体" w:hAnsi="宋体" w:eastAsia="宋体" w:cs="宋体"/>
          <w:i/>
          <w:iCs/>
          <w:color w:val="auto"/>
          <w:highlight w:val="none"/>
        </w:rPr>
      </w:pPr>
      <w:r>
        <w:rPr>
          <w:rFonts w:hint="eastAsia" w:ascii="宋体" w:hAnsi="宋体" w:eastAsia="宋体" w:cs="宋体"/>
          <w:color w:val="auto"/>
          <w:highlight w:val="none"/>
        </w:rPr>
        <w:t xml:space="preserve">19.1 </w:t>
      </w:r>
      <w:r>
        <w:rPr>
          <w:rFonts w:hint="eastAsia" w:ascii="宋体" w:hAnsi="宋体" w:eastAsia="宋体" w:cs="宋体"/>
          <w:i/>
          <w:iCs/>
          <w:color w:val="auto"/>
          <w:highlight w:val="none"/>
          <w:u w:val="single"/>
        </w:rPr>
        <w:t xml:space="preserve">供应商上传电子响应文件的时间不得迟于磋商公告中规定的提交响应文件截止时间</w:t>
      </w:r>
      <w:r>
        <w:rPr>
          <w:rFonts w:hint="eastAsia" w:ascii="宋体" w:hAnsi="宋体" w:eastAsia="宋体" w:cs="宋体"/>
          <w:color w:val="auto"/>
          <w:highlight w:val="none"/>
          <w:u w:val="single"/>
        </w:rPr>
        <w:t xml:space="preserve">。</w:t>
      </w:r>
      <w:r/>
    </w:p>
    <w:p>
      <w:pPr>
        <w:pStyle w:val="731"/>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供应商应充分考虑到网络环境、网络带宽等风险因素，如因供应商自身原因造成的电子响应文件上传不成功的按照本磋商文件第二章第26.3.2条规定做无效响应处理。</w:t>
      </w:r>
      <w:r/>
    </w:p>
    <w:p>
      <w:pPr>
        <w:pStyle w:val="731"/>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19.2 代理机构可以按照规定，通过修改磋商文件酌情延长提交响应文件截止日期，在此情况下，供应商的所有权利和义务以及供应商受制的截止日期均应以延长后新的截止日期为准。</w:t>
      </w:r>
      <w:r/>
    </w:p>
    <w:p>
      <w:pPr>
        <w:pStyle w:val="731"/>
        <w:ind w:firstLine="480"/>
        <w:jc w:val="both"/>
        <w:keepLines/>
        <w:keepNext/>
        <w:spacing w:before="0" w:beforeAutospacing="0" w:after="0" w:afterAutospacing="0" w:line="360" w:lineRule="auto"/>
        <w:widowControl w:val="off"/>
        <w:rPr>
          <w:rFonts w:hint="eastAsia" w:ascii="宋体" w:hAnsi="宋体" w:eastAsia="宋体" w:cs="宋体"/>
          <w:color w:val="auto"/>
          <w:highlight w:val="none"/>
        </w:rPr>
      </w:pPr>
      <w:r/>
      <w:bookmarkStart w:id="146" w:name="_Toc20823299"/>
      <w:r/>
      <w:bookmarkStart w:id="147" w:name="_Toc16938543"/>
      <w:r/>
      <w:bookmarkStart w:id="148" w:name="_Toc513029227"/>
      <w:r>
        <w:rPr>
          <w:rFonts w:hint="eastAsia" w:ascii="宋体" w:hAnsi="宋体" w:eastAsia="宋体" w:cs="宋体"/>
          <w:color w:val="auto"/>
          <w:highlight w:val="none"/>
        </w:rPr>
        <w:t xml:space="preserve">20、响应文件</w:t>
      </w:r>
      <w:bookmarkEnd w:id="146"/>
      <w:r/>
      <w:bookmarkEnd w:id="147"/>
      <w:r/>
      <w:bookmarkEnd w:id="148"/>
      <w:r>
        <w:rPr>
          <w:rFonts w:hint="eastAsia" w:ascii="宋体" w:hAnsi="宋体" w:eastAsia="宋体" w:cs="宋体"/>
          <w:color w:val="auto"/>
          <w:highlight w:val="none"/>
        </w:rPr>
        <w:t xml:space="preserve">的拒收</w:t>
      </w:r>
      <w:r/>
    </w:p>
    <w:p>
      <w:pPr>
        <w:pStyle w:val="731"/>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20.1 代理机构拒绝接收在其规定的提交响应文件截止时间后上传的任何电子响应文件。</w:t>
      </w:r>
      <w:r/>
    </w:p>
    <w:p>
      <w:pPr>
        <w:pStyle w:val="731"/>
        <w:ind w:firstLine="480"/>
        <w:jc w:val="both"/>
        <w:keepLines/>
        <w:keepNext/>
        <w:spacing w:before="0" w:beforeAutospacing="0" w:after="0" w:afterAutospacing="0" w:line="360" w:lineRule="auto"/>
        <w:widowControl w:val="off"/>
        <w:rPr>
          <w:rFonts w:hint="eastAsia" w:ascii="宋体" w:hAnsi="宋体" w:eastAsia="宋体" w:cs="宋体"/>
          <w:color w:val="auto"/>
          <w:highlight w:val="none"/>
        </w:rPr>
      </w:pPr>
      <w:r/>
      <w:bookmarkStart w:id="149" w:name="_Toc20823300"/>
      <w:r/>
      <w:bookmarkStart w:id="150" w:name="_Toc16938544"/>
      <w:r/>
      <w:bookmarkStart w:id="151" w:name="_Toc513029228"/>
      <w:r>
        <w:rPr>
          <w:rFonts w:hint="eastAsia" w:ascii="宋体" w:hAnsi="宋体" w:eastAsia="宋体" w:cs="宋体"/>
          <w:color w:val="auto"/>
          <w:highlight w:val="none"/>
        </w:rPr>
        <w:t xml:space="preserve">21、响应文件的撤回和修改</w:t>
      </w:r>
      <w:bookmarkEnd w:id="149"/>
      <w:r/>
      <w:bookmarkEnd w:id="150"/>
      <w:r/>
      <w:bookmarkEnd w:id="151"/>
      <w:r/>
      <w:r/>
    </w:p>
    <w:p>
      <w:pPr>
        <w:pStyle w:val="731"/>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21.1 响应文件的撤回</w:t>
      </w:r>
      <w:r/>
    </w:p>
    <w:p>
      <w:pPr>
        <w:pStyle w:val="731"/>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21.1.1电子响应文件的撤回</w:t>
      </w:r>
      <w:r/>
    </w:p>
    <w:p>
      <w:pPr>
        <w:pStyle w:val="731"/>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供应商可在提交响应文件截止时间前，撤回其电子响应文件，具体操作方法见《操作手册》。</w:t>
      </w:r>
      <w:r/>
    </w:p>
    <w:p>
      <w:pPr>
        <w:pStyle w:val="731"/>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21.1.2供应商撤回电子响应文件，则认为其不再参与本项目磋商活动。</w:t>
      </w:r>
      <w:r/>
    </w:p>
    <w:p>
      <w:pPr>
        <w:pStyle w:val="731"/>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21.2 响应文件的修改</w:t>
      </w:r>
      <w:r/>
    </w:p>
    <w:p>
      <w:pPr>
        <w:pStyle w:val="731"/>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供应商可在提交响应文件截止时间前，对其电子响应文件进行修改，具体操作方法见《操作手册》。</w:t>
      </w:r>
      <w:r/>
    </w:p>
    <w:p>
      <w:pPr>
        <w:pStyle w:val="731"/>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21.3 在提交响应文件截止时间之后，供应商不得对其电子响应文件作任何修改。</w:t>
      </w:r>
      <w:r/>
    </w:p>
    <w:p>
      <w:pPr>
        <w:pStyle w:val="731"/>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21.4 在提交响应文件截止时间至磋商文件中规定的磋商有效期满之间的这段时间内，供应商不得撤回其响应文件。</w:t>
      </w:r>
      <w:r/>
    </w:p>
    <w:p>
      <w:pPr>
        <w:pStyle w:val="731"/>
        <w:ind w:firstLine="482"/>
        <w:jc w:val="both"/>
        <w:keepLines/>
        <w:keepNext/>
        <w:spacing w:before="0" w:beforeAutospacing="0" w:after="0" w:afterAutospacing="0" w:line="360" w:lineRule="auto"/>
        <w:widowControl w:val="off"/>
        <w:rPr>
          <w:rFonts w:hint="eastAsia" w:ascii="宋体" w:hAnsi="宋体" w:eastAsia="宋体" w:cs="宋体"/>
          <w:color w:val="auto"/>
          <w:highlight w:val="none"/>
        </w:rPr>
      </w:pPr>
      <w:r/>
      <w:bookmarkStart w:id="152" w:name="_Toc513029229"/>
      <w:r/>
      <w:bookmarkStart w:id="153" w:name="_Toc16938545"/>
      <w:r/>
      <w:bookmarkStart w:id="154" w:name="_Toc20823301"/>
      <w:r/>
      <w:bookmarkStart w:id="155" w:name="_Toc120614218"/>
      <w:r>
        <w:rPr>
          <w:rFonts w:hint="eastAsia" w:ascii="宋体" w:hAnsi="宋体" w:eastAsia="宋体" w:cs="宋体"/>
          <w:b/>
          <w:bCs/>
          <w:color w:val="auto"/>
          <w:highlight w:val="none"/>
        </w:rPr>
        <w:t xml:space="preserve">五、响应文件的解密与评审</w:t>
      </w:r>
      <w:bookmarkEnd w:id="152"/>
      <w:r/>
      <w:bookmarkEnd w:id="153"/>
      <w:r/>
      <w:bookmarkEnd w:id="154"/>
      <w:r/>
      <w:bookmarkEnd w:id="155"/>
      <w:r/>
      <w:r/>
    </w:p>
    <w:p>
      <w:pPr>
        <w:pStyle w:val="731"/>
        <w:ind w:firstLine="480"/>
        <w:jc w:val="both"/>
        <w:keepLines/>
        <w:keepNext/>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22、响应文件解密</w:t>
      </w:r>
      <w:r/>
    </w:p>
    <w:p>
      <w:pPr>
        <w:pStyle w:val="731"/>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22.1 供应商应当按照《操作手册》规定，在苏采云系统规定的时间内对磋商响应文件进行解密。</w:t>
      </w:r>
      <w:r/>
    </w:p>
    <w:p>
      <w:pPr>
        <w:pStyle w:val="731"/>
        <w:ind w:firstLine="480"/>
        <w:jc w:val="both"/>
        <w:keepLines/>
        <w:keepNext/>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23、磋商小组</w:t>
      </w:r>
      <w:r/>
    </w:p>
    <w:p>
      <w:pPr>
        <w:pStyle w:val="731"/>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23.1 代理机构将组织磋商小组对响应文件进行评审。磋商小组由采购人代表和有关技术、经济等方面的专家组成，且人员构成符合政府采购有关规定。</w:t>
      </w:r>
      <w:r/>
    </w:p>
    <w:p>
      <w:pPr>
        <w:pStyle w:val="731"/>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23.2 磋商小组独立工作，负责评审所有响应文件并确定成交候选人。</w:t>
      </w:r>
      <w:r/>
    </w:p>
    <w:p>
      <w:pPr>
        <w:pStyle w:val="731"/>
        <w:ind w:firstLine="480"/>
        <w:jc w:val="both"/>
        <w:keepLines/>
        <w:keepNext/>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24、评审过程的保密与公正</w:t>
      </w:r>
      <w:r/>
    </w:p>
    <w:p>
      <w:pPr>
        <w:pStyle w:val="731"/>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24.1 磋商小组、采购人和代理机构工作人员、相关监督人员等与评审工作有关的人员，对评审情况以及在评审过程中获悉的国家秘密、商业秘密负有保密责任。</w:t>
      </w:r>
      <w:r/>
    </w:p>
    <w:p>
      <w:pPr>
        <w:pStyle w:val="731"/>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24.2 在评审过程中，供应商不得以任何行为影响磋商评审过程，否则其响应文件将被作为无效响应文件。</w:t>
      </w:r>
      <w:r/>
    </w:p>
    <w:p>
      <w:pPr>
        <w:pStyle w:val="731"/>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24.3 在项目评审期间，代理机构将设专门人员与供应商联系。</w:t>
      </w:r>
      <w:r/>
    </w:p>
    <w:p>
      <w:pPr>
        <w:pStyle w:val="731"/>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24.4 代理机构和磋商小组不向未成交的供应商解释未成交原因，也不公布评审过程中的相关细节。</w:t>
      </w:r>
      <w:r/>
    </w:p>
    <w:p>
      <w:pPr>
        <w:pStyle w:val="731"/>
        <w:ind w:firstLine="480"/>
        <w:jc w:val="both"/>
        <w:keepLines/>
        <w:keepNext/>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25、评审过程中的的澄清</w:t>
      </w:r>
      <w:r/>
    </w:p>
    <w:p>
      <w:pPr>
        <w:pStyle w:val="731"/>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25.1 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731"/>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磋商小组并非对每个供应商都作澄清要求。</w:t>
      </w:r>
      <w:r/>
    </w:p>
    <w:p>
      <w:pPr>
        <w:pStyle w:val="731"/>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25.2 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731"/>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25.3 接到磋商小组澄清、说明和更正要求的供应商如未按规定做出澄清、说明和更正，其风险由供应商自行承担。</w:t>
      </w:r>
      <w:r/>
    </w:p>
    <w:p>
      <w:pPr>
        <w:pStyle w:val="731"/>
        <w:ind w:firstLine="480"/>
        <w:jc w:val="both"/>
        <w:keepLines/>
        <w:keepNext/>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26、对响应文件的审查</w:t>
      </w:r>
      <w:r/>
    </w:p>
    <w:p>
      <w:pPr>
        <w:pStyle w:val="731"/>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 响应文件审查分为资格审查和符合性审查。</w:t>
      </w:r>
      <w:r/>
    </w:p>
    <w:p>
      <w:pPr>
        <w:pStyle w:val="731"/>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26.1.1资格审查：由磋商小组依据法律法规和磋商文件的规定，对响应文件中的资格证明文件进行审查，以确定供应商是否具备参加磋商的资格。</w:t>
      </w:r>
      <w:r/>
    </w:p>
    <w:p>
      <w:pPr>
        <w:pStyle w:val="731"/>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磋商小组在进行资格审查的同时，将在“信用中国”网站（www.creditchina.gov.cn）、查询供应商的信用记录，以确定供应商是否具备磋商资格。</w:t>
      </w:r>
      <w:r/>
    </w:p>
    <w:p>
      <w:pPr>
        <w:pStyle w:val="731"/>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31"/>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26.1.2符合性审查：依据磋商文件的规定，由磋商小组从响应文件的有效性、完整性和对磋商文件的响应程度进行审查，以确定是否对磋商文件的实质性要求作出响应。</w:t>
      </w:r>
      <w:r/>
    </w:p>
    <w:p>
      <w:pPr>
        <w:pStyle w:val="731"/>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报价要求：只能有一个响应文件及有效报价（采购文件要求提交备选响应的除外）</w:t>
      </w:r>
      <w:r/>
    </w:p>
    <w:p>
      <w:pPr>
        <w:pStyle w:val="731"/>
        <w:ind w:firstLine="480"/>
        <w:jc w:val="both"/>
        <w:spacing w:before="0" w:beforeAutospacing="0" w:after="0" w:afterAutospacing="0" w:line="360" w:lineRule="auto"/>
        <w:widowControl w:val="off"/>
        <w:rPr>
          <w:rFonts w:hint="eastAsia" w:ascii="宋体" w:hAnsi="宋体" w:eastAsia="宋体" w:cs="宋体"/>
          <w:color w:val="ff0000"/>
          <w:highlight w:val="none"/>
          <w:lang w:val="en-US" w:eastAsia="zh-CN"/>
        </w:rPr>
      </w:pPr>
      <w:r>
        <w:rPr>
          <w:rFonts w:hint="eastAsia" w:ascii="宋体" w:hAnsi="宋体" w:eastAsia="宋体" w:cs="宋体"/>
          <w:color w:val="ff0000"/>
          <w:highlight w:val="none"/>
          <w:lang w:val="en-US" w:eastAsia="zh-CN"/>
        </w:rPr>
        <w:t xml:space="preserve">政府采购异常低价审查：</w:t>
      </w:r>
      <w:r/>
    </w:p>
    <w:p>
      <w:pPr>
        <w:pStyle w:val="731"/>
        <w:ind w:firstLine="480"/>
        <w:jc w:val="both"/>
        <w:spacing w:before="0" w:beforeAutospacing="0" w:after="0" w:afterAutospacing="0" w:line="360" w:lineRule="auto"/>
        <w:widowControl w:val="off"/>
        <w:rPr>
          <w:rFonts w:hint="eastAsia" w:ascii="宋体" w:hAnsi="宋体" w:eastAsia="宋体" w:cs="宋体"/>
          <w:color w:val="ff0000"/>
          <w:highlight w:val="none"/>
          <w:lang w:val="en-US" w:eastAsia="zh-CN"/>
        </w:rPr>
      </w:pPr>
      <w:r>
        <w:rPr>
          <w:rFonts w:hint="eastAsia" w:ascii="宋体" w:hAnsi="宋体" w:eastAsia="宋体" w:cs="宋体"/>
          <w:color w:val="ff0000"/>
          <w:highlight w:val="none"/>
          <w:lang w:val="en-US" w:eastAsia="zh-CN"/>
        </w:rPr>
        <w:t xml:space="preserve">（一）评审过程中出现下列情形之一的，评审委员会应当启动异常低价投标（响应）审查程序：</w:t>
      </w:r>
      <w:r/>
    </w:p>
    <w:p>
      <w:pPr>
        <w:pStyle w:val="731"/>
        <w:ind w:firstLine="480"/>
        <w:jc w:val="both"/>
        <w:spacing w:before="0" w:beforeAutospacing="0" w:after="0" w:afterAutospacing="0" w:line="360" w:lineRule="auto"/>
        <w:widowControl w:val="off"/>
        <w:rPr>
          <w:rFonts w:hint="eastAsia" w:ascii="宋体" w:hAnsi="宋体" w:eastAsia="宋体" w:cs="宋体"/>
          <w:color w:val="ff0000"/>
          <w:highlight w:val="none"/>
          <w:lang w:val="en-US" w:eastAsia="zh-CN"/>
        </w:rPr>
      </w:pPr>
      <w:r>
        <w:rPr>
          <w:rFonts w:hint="eastAsia" w:ascii="宋体" w:hAnsi="宋体" w:eastAsia="宋体" w:cs="宋体"/>
          <w:color w:val="ff0000"/>
          <w:highlight w:val="none"/>
          <w:lang w:val="en-US" w:eastAsia="zh-CN"/>
        </w:rPr>
        <w:t xml:space="preserve">1.投标（响应）报价低于采购项目预算50%的，即投标（响应）报价&lt;采购项目预算×50%；</w:t>
      </w:r>
      <w:r/>
    </w:p>
    <w:p>
      <w:pPr>
        <w:pStyle w:val="731"/>
        <w:ind w:firstLine="480"/>
        <w:jc w:val="both"/>
        <w:spacing w:before="0" w:beforeAutospacing="0" w:after="0" w:afterAutospacing="0" w:line="360" w:lineRule="auto"/>
        <w:widowControl w:val="off"/>
        <w:rPr>
          <w:rFonts w:hint="eastAsia" w:ascii="宋体" w:hAnsi="宋体" w:eastAsia="宋体" w:cs="宋体"/>
          <w:color w:val="ff0000"/>
          <w:highlight w:val="none"/>
          <w:lang w:val="en-US" w:eastAsia="zh-CN"/>
        </w:rPr>
      </w:pPr>
      <w:r>
        <w:rPr>
          <w:rFonts w:hint="eastAsia" w:ascii="宋体" w:hAnsi="宋体" w:eastAsia="宋体" w:cs="宋体"/>
          <w:color w:val="ff0000"/>
          <w:highlight w:val="none"/>
          <w:lang w:val="en-US" w:eastAsia="zh-CN"/>
        </w:rPr>
        <w:t xml:space="preserve">2.投标（响应）报价低于采购项目最高限价45%的，即投标（响应）报价&lt;采购项目最高限价×45%；</w:t>
      </w:r>
      <w:r/>
    </w:p>
    <w:p>
      <w:pPr>
        <w:pStyle w:val="731"/>
        <w:ind w:firstLine="480"/>
        <w:jc w:val="both"/>
        <w:spacing w:before="0" w:beforeAutospacing="0" w:after="0" w:afterAutospacing="0" w:line="360" w:lineRule="auto"/>
        <w:widowControl w:val="off"/>
        <w:rPr>
          <w:rFonts w:hint="eastAsia" w:ascii="宋体" w:hAnsi="宋体" w:eastAsia="宋体" w:cs="宋体"/>
          <w:color w:val="ff0000"/>
          <w:highlight w:val="none"/>
          <w:lang w:val="en-US" w:eastAsia="zh-CN"/>
        </w:rPr>
      </w:pPr>
      <w:r>
        <w:rPr>
          <w:rFonts w:hint="eastAsia" w:ascii="宋体" w:hAnsi="宋体" w:eastAsia="宋体" w:cs="宋体"/>
          <w:color w:val="ff0000"/>
          <w:highlight w:val="none"/>
          <w:lang w:val="en-US" w:eastAsia="zh-CN"/>
        </w:rPr>
        <w:t xml:space="preserve">3.评审委员会认定的供应商报价过低、有可能影响产品质量或者不能诚信履约的其他情形。</w:t>
      </w:r>
      <w:r/>
    </w:p>
    <w:p>
      <w:pPr>
        <w:pStyle w:val="731"/>
        <w:ind w:firstLine="480"/>
        <w:jc w:val="both"/>
        <w:spacing w:before="0" w:beforeAutospacing="0" w:after="0" w:afterAutospacing="0" w:line="360" w:lineRule="auto"/>
        <w:widowControl w:val="off"/>
        <w:rPr>
          <w:rFonts w:hint="eastAsia" w:ascii="宋体" w:hAnsi="宋体" w:eastAsia="宋体" w:cs="宋体"/>
          <w:color w:val="ff0000"/>
          <w:highlight w:val="none"/>
          <w:lang w:val="en-US" w:eastAsia="zh-CN"/>
        </w:rPr>
      </w:pPr>
      <w:r>
        <w:rPr>
          <w:rFonts w:hint="eastAsia" w:ascii="宋体" w:hAnsi="宋体" w:eastAsia="宋体" w:cs="宋体"/>
          <w:color w:val="ff0000"/>
          <w:highlight w:val="none"/>
          <w:lang w:val="en-US" w:eastAsia="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731"/>
        <w:ind w:firstLine="480"/>
        <w:jc w:val="both"/>
        <w:spacing w:before="0" w:beforeAutospacing="0" w:after="0" w:afterAutospacing="0" w:line="360" w:lineRule="auto"/>
        <w:widowControl w:val="off"/>
        <w:rPr>
          <w:rFonts w:hint="eastAsia" w:ascii="宋体" w:hAnsi="宋体" w:eastAsia="宋体" w:cs="宋体"/>
          <w:color w:val="ff0000"/>
          <w:highlight w:val="none"/>
          <w:lang w:val="en-US" w:eastAsia="zh-CN"/>
        </w:rPr>
      </w:pPr>
      <w:r>
        <w:rPr>
          <w:rFonts w:hint="eastAsia" w:ascii="宋体" w:hAnsi="宋体" w:eastAsia="宋体" w:cs="宋体"/>
          <w:color w:val="ff0000"/>
          <w:highlight w:val="none"/>
          <w:lang w:val="en-US" w:eastAsia="zh-CN"/>
        </w:rPr>
        <w:t xml:space="preserve">评委会将通过“苏采云”系统要求其在合理的时间内提供书面说明、证明材料。供应商可在投标（响应）文件中提供项目具体成本测算等与报价合理性相关的书面说明及相关证明材料，对投标（响应）价格作出解释，便于评审。</w:t>
      </w:r>
      <w:r/>
    </w:p>
    <w:p>
      <w:pPr>
        <w:pStyle w:val="731"/>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商务技术要求：重大偏离或保留是指供应商响应文件与采购文件规定的主要技术指标或重要商务条款或除上述以外的多项指标要求存在负偏离，或者在实质上与采购文件不一致，而且限制了合同中采购人的权利或供应商的义务，保留或给予纠正这些偏离的机会将会对其他实质性响应要求的供应商的竞争地位产生不公正的影响。重大偏离的认定需经过评审委员会2/3及以上成员的认定。</w:t>
      </w:r>
      <w:r/>
    </w:p>
    <w:p>
      <w:pPr>
        <w:pStyle w:val="731"/>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26.2 在详细评审之前，磋商小组将首先审查每份响应文件是否实质性响应了磋商文件的要求。实质性响应的响应文件应该是与磋商文件要求的条款、条件和规格相符，没有重大偏离或保留。</w:t>
      </w:r>
      <w:r/>
    </w:p>
    <w:p>
      <w:pPr>
        <w:pStyle w:val="731"/>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731"/>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26.3 未实质性响应磋商文件的情形</w:t>
      </w:r>
      <w:r/>
    </w:p>
    <w:p>
      <w:pPr>
        <w:pStyle w:val="731"/>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26.3.1供应商在苏采云系统规定的时间内未成功解密电子响应文件的。</w:t>
      </w:r>
      <w:r/>
    </w:p>
    <w:p>
      <w:pPr>
        <w:pStyle w:val="731"/>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26.3.2供应商未按照磋商文件要求上传电子响应文件的。</w:t>
      </w:r>
      <w:r/>
    </w:p>
    <w:p>
      <w:pPr>
        <w:pStyle w:val="731"/>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26.3.3同一供应商提交两个（含两个）以上不同的响应文件或者最后报价的。</w:t>
      </w:r>
      <w:r/>
    </w:p>
    <w:p>
      <w:pPr>
        <w:pStyle w:val="731"/>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26.3.4供应商不具备磋商文件中规定资格要求的。</w:t>
      </w:r>
      <w:r/>
    </w:p>
    <w:p>
      <w:pPr>
        <w:pStyle w:val="731"/>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26.3.5供应商的最后报价超过了采购预算。</w:t>
      </w:r>
      <w:r/>
    </w:p>
    <w:p>
      <w:pPr>
        <w:pStyle w:val="731"/>
        <w:ind w:firstLine="480"/>
        <w:jc w:val="both"/>
        <w:spacing w:before="0" w:beforeAutospacing="0" w:after="0" w:afterAutospacing="0"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color w:val="auto"/>
          <w:highlight w:val="none"/>
        </w:rPr>
        <w:t xml:space="preserve">26.3.6不符合磋商文件中规定的实质性要求和条件的</w:t>
      </w:r>
      <w:r>
        <w:rPr>
          <w:rFonts w:hint="eastAsia" w:ascii="宋体" w:hAnsi="宋体" w:eastAsia="宋体" w:cs="宋体"/>
          <w:b/>
          <w:bCs/>
          <w:color w:val="000000"/>
          <w:sz w:val="24"/>
          <w:szCs w:val="24"/>
          <w:highlight w:val="none"/>
        </w:rPr>
        <w:t xml:space="preserve">（本磋商文件中标注</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号的部分为实质性要求和条件）。</w:t>
      </w:r>
      <w:r/>
    </w:p>
    <w:p>
      <w:pPr>
        <w:pStyle w:val="731"/>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731"/>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26.3.8响应文件含有采购人不能接受的附加条件的。</w:t>
      </w:r>
      <w:r/>
    </w:p>
    <w:p>
      <w:pPr>
        <w:pStyle w:val="731"/>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26.3.</w:t>
      </w:r>
      <w:r>
        <w:rPr>
          <w:rFonts w:hint="eastAsia" w:cs="宋体"/>
          <w:color w:val="auto"/>
          <w:highlight w:val="none"/>
          <w:lang w:val="en-US" w:eastAsia="zh-CN"/>
        </w:rPr>
        <w:t xml:space="preserve">9</w:t>
      </w:r>
      <w:r>
        <w:rPr>
          <w:rFonts w:hint="eastAsia" w:ascii="宋体" w:hAnsi="宋体" w:eastAsia="宋体" w:cs="宋体"/>
          <w:color w:val="auto"/>
          <w:highlight w:val="none"/>
        </w:rPr>
        <w:t xml:space="preserve">响应文件未按照磋商文件要求加盖CA电子公章的。</w:t>
      </w:r>
      <w:r/>
    </w:p>
    <w:p>
      <w:pPr>
        <w:pStyle w:val="731"/>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26.4 未实质性响应磋商文件的响应文件按无效响应处理。</w:t>
      </w:r>
      <w:r/>
    </w:p>
    <w:p>
      <w:pPr>
        <w:pStyle w:val="731"/>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26.5 如果响应文件实质上没有响应磋商文件的要求，磋商小组将予以拒绝，供应商不得通过修改或撤销不合要求的偏离或保留而使其成为实质性响应的文件。</w:t>
      </w:r>
      <w:r/>
    </w:p>
    <w:p>
      <w:pPr>
        <w:pStyle w:val="731"/>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26.6 供应商在项目评审全过程中应保持通讯畅通，并安排专人与代理机构及磋商小组联系。</w:t>
      </w:r>
      <w:r/>
    </w:p>
    <w:p>
      <w:pPr>
        <w:pStyle w:val="731"/>
        <w:ind w:firstLine="480"/>
        <w:jc w:val="both"/>
        <w:keepLines/>
        <w:keepNext/>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27、磋商程序及评审方法和评审标准</w:t>
      </w:r>
      <w:r/>
    </w:p>
    <w:p>
      <w:pPr>
        <w:pStyle w:val="731"/>
        <w:ind w:firstLine="480"/>
        <w:jc w:val="both"/>
        <w:spacing w:before="0" w:beforeAutospacing="0" w:after="0" w:afterAutospacing="0" w:line="360" w:lineRule="auto"/>
        <w:widowControl w:val="off"/>
        <w:tabs>
          <w:tab w:val="left" w:pos="901"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27.1 磋商程序</w:t>
      </w:r>
      <w:r/>
    </w:p>
    <w:p>
      <w:pPr>
        <w:pStyle w:val="731"/>
        <w:ind w:firstLine="480"/>
        <w:jc w:val="both"/>
        <w:spacing w:before="0" w:beforeAutospacing="0" w:after="0" w:afterAutospacing="0" w:line="360" w:lineRule="auto"/>
        <w:widowControl w:val="off"/>
        <w:tabs>
          <w:tab w:val="left" w:pos="901"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731"/>
        <w:ind w:firstLine="480"/>
        <w:jc w:val="both"/>
        <w:spacing w:before="0" w:beforeAutospacing="0" w:after="0" w:afterAutospacing="0" w:line="360" w:lineRule="auto"/>
        <w:widowControl w:val="off"/>
        <w:tabs>
          <w:tab w:val="left" w:pos="901"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731"/>
        <w:ind w:firstLine="480"/>
        <w:jc w:val="both"/>
        <w:spacing w:before="0" w:beforeAutospacing="0" w:after="0" w:afterAutospacing="0" w:line="360" w:lineRule="auto"/>
        <w:widowControl w:val="off"/>
        <w:tabs>
          <w:tab w:val="left" w:pos="901"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731"/>
        <w:ind w:firstLine="480"/>
        <w:jc w:val="both"/>
        <w:spacing w:before="0" w:beforeAutospacing="0" w:after="0" w:afterAutospacing="0" w:line="360" w:lineRule="auto"/>
        <w:widowControl w:val="off"/>
        <w:tabs>
          <w:tab w:val="left" w:pos="901"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731"/>
        <w:ind w:firstLine="480"/>
        <w:jc w:val="both"/>
        <w:spacing w:before="0" w:beforeAutospacing="0" w:after="0" w:afterAutospacing="0" w:line="360" w:lineRule="auto"/>
        <w:widowControl w:val="off"/>
        <w:tabs>
          <w:tab w:val="left" w:pos="901"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pStyle w:val="731"/>
        <w:ind w:firstLine="480"/>
        <w:jc w:val="both"/>
        <w:spacing w:before="0" w:beforeAutospacing="0" w:after="0" w:afterAutospacing="0" w:line="360" w:lineRule="auto"/>
        <w:widowControl w:val="off"/>
        <w:tabs>
          <w:tab w:val="left" w:pos="901"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2"/>
        <w:jc w:val="left"/>
        <w:spacing w:line="360" w:lineRule="auto"/>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本项目各分项最终结算价按照磋商首次报价与最后报价同比例变动。</w:t>
      </w:r>
      <w:r/>
    </w:p>
    <w:p>
      <w:pPr>
        <w:pStyle w:val="731"/>
        <w:ind w:firstLine="480"/>
        <w:jc w:val="both"/>
        <w:spacing w:before="0" w:beforeAutospacing="0" w:after="0" w:afterAutospacing="0" w:line="360" w:lineRule="auto"/>
        <w:widowControl w:val="off"/>
        <w:tabs>
          <w:tab w:val="left" w:pos="901"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27.2 评审方法和评审标准</w:t>
      </w:r>
      <w:r/>
    </w:p>
    <w:p>
      <w:pPr>
        <w:pStyle w:val="731"/>
        <w:ind w:firstLine="480"/>
        <w:jc w:val="both"/>
        <w:spacing w:before="0" w:beforeAutospacing="0" w:after="0" w:afterAutospacing="0" w:line="360" w:lineRule="auto"/>
        <w:widowControl w:val="off"/>
        <w:tabs>
          <w:tab w:val="left" w:pos="901"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27.2.1评审方法。经磋商确定最终采购需求和提交最后报价的供应商后，由磋商小组采用综合评分法对提交最后报价的供应商的响应文件和最后报价进行综合评分。</w:t>
      </w:r>
      <w:r/>
    </w:p>
    <w:p>
      <w:pPr>
        <w:pStyle w:val="731"/>
        <w:ind w:firstLine="480"/>
        <w:jc w:val="both"/>
        <w:spacing w:before="0" w:beforeAutospacing="0" w:after="0" w:afterAutospacing="0" w:line="360" w:lineRule="auto"/>
        <w:widowControl w:val="off"/>
        <w:tabs>
          <w:tab w:val="left" w:pos="901"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731"/>
        <w:ind w:firstLine="480"/>
        <w:jc w:val="both"/>
        <w:spacing w:before="0" w:beforeAutospacing="0" w:after="0" w:afterAutospacing="0" w:line="360" w:lineRule="auto"/>
        <w:widowControl w:val="off"/>
        <w:tabs>
          <w:tab w:val="left" w:pos="901"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27.2.2评审标准</w:t>
      </w:r>
      <w:r/>
    </w:p>
    <w:p>
      <w:pPr>
        <w:pStyle w:val="731"/>
        <w:ind w:firstLine="480"/>
        <w:jc w:val="both"/>
        <w:spacing w:before="0" w:beforeAutospacing="0" w:after="0" w:afterAutospacing="0" w:line="360" w:lineRule="auto"/>
        <w:widowControl w:val="off"/>
        <w:tabs>
          <w:tab w:val="left" w:pos="901"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见本磋商文件第五章“评审方法与评审标准”规定。</w:t>
      </w:r>
      <w:r/>
    </w:p>
    <w:p>
      <w:pPr>
        <w:pStyle w:val="731"/>
        <w:ind w:firstLine="480"/>
        <w:jc w:val="both"/>
        <w:spacing w:before="0" w:beforeAutospacing="0" w:after="0" w:afterAutospacing="0" w:line="360" w:lineRule="auto"/>
        <w:widowControl w:val="off"/>
        <w:tabs>
          <w:tab w:val="left" w:pos="901"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27.3 采购活动终止的情况</w:t>
      </w:r>
      <w:r/>
    </w:p>
    <w:p>
      <w:pPr>
        <w:pStyle w:val="731"/>
        <w:ind w:firstLine="480"/>
        <w:jc w:val="both"/>
        <w:spacing w:before="0" w:beforeAutospacing="0" w:after="0" w:afterAutospacing="0" w:line="360" w:lineRule="auto"/>
        <w:widowControl w:val="off"/>
        <w:tabs>
          <w:tab w:val="left" w:pos="901"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出现下列情形之一的，本次竞争性磋商采购活动将被终止：</w:t>
      </w:r>
      <w:r/>
    </w:p>
    <w:p>
      <w:pPr>
        <w:pStyle w:val="731"/>
        <w:ind w:firstLine="480"/>
        <w:jc w:val="both"/>
        <w:spacing w:before="0" w:beforeAutospacing="0" w:after="0" w:afterAutospacing="0" w:line="360" w:lineRule="auto"/>
        <w:widowControl w:val="off"/>
        <w:tabs>
          <w:tab w:val="left" w:pos="901"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27.3.1因情况变化，不再符合规定的竞争性磋商采购方式适用情形的。</w:t>
      </w:r>
      <w:r/>
    </w:p>
    <w:p>
      <w:pPr>
        <w:pStyle w:val="731"/>
        <w:ind w:firstLine="480"/>
        <w:jc w:val="both"/>
        <w:spacing w:before="0" w:beforeAutospacing="0" w:after="0" w:afterAutospacing="0" w:line="360" w:lineRule="auto"/>
        <w:widowControl w:val="off"/>
        <w:tabs>
          <w:tab w:val="left" w:pos="901"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27.3.2出现影响采购公正的违法、违规行为的。</w:t>
      </w:r>
      <w:r/>
    </w:p>
    <w:p>
      <w:pPr>
        <w:pStyle w:val="731"/>
        <w:ind w:firstLine="480"/>
        <w:jc w:val="both"/>
        <w:spacing w:before="0" w:beforeAutospacing="0" w:after="0" w:afterAutospacing="0" w:line="360" w:lineRule="auto"/>
        <w:widowControl w:val="off"/>
        <w:tabs>
          <w:tab w:val="left" w:pos="901"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27.3.3除本磋商文件第二章第27.1.2条第三款规定的情形外，在采购过程中符合要求的供应商或者最后报价未超过采购预算的供应商不足3家的。</w:t>
      </w:r>
      <w:r/>
    </w:p>
    <w:p>
      <w:pPr>
        <w:pStyle w:val="731"/>
        <w:ind w:firstLine="480"/>
        <w:jc w:val="both"/>
        <w:spacing w:before="0" w:beforeAutospacing="0" w:after="0" w:afterAutospacing="0" w:line="360" w:lineRule="auto"/>
        <w:widowControl w:val="off"/>
        <w:tabs>
          <w:tab w:val="left" w:pos="901"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27.3.4在苏采云系统规定时间内成功解密电子响应文件的供应商不足3家的。</w:t>
      </w:r>
      <w:r/>
    </w:p>
    <w:p>
      <w:pPr>
        <w:pStyle w:val="731"/>
        <w:ind w:firstLine="482"/>
        <w:jc w:val="both"/>
        <w:keepLines/>
        <w:keepNext/>
        <w:spacing w:before="0" w:beforeAutospacing="0" w:after="0" w:afterAutospacing="0" w:line="360" w:lineRule="auto"/>
        <w:widowControl w:val="off"/>
        <w:rPr>
          <w:rFonts w:hint="eastAsia" w:ascii="宋体" w:hAnsi="宋体" w:eastAsia="宋体" w:cs="宋体"/>
          <w:color w:val="auto"/>
          <w:highlight w:val="none"/>
        </w:rPr>
      </w:pPr>
      <w:r/>
      <w:bookmarkStart w:id="156" w:name="_Toc120614219"/>
      <w:r>
        <w:rPr>
          <w:rFonts w:hint="eastAsia" w:ascii="宋体" w:hAnsi="宋体" w:eastAsia="宋体" w:cs="宋体"/>
          <w:b/>
          <w:bCs/>
          <w:color w:val="auto"/>
          <w:highlight w:val="none"/>
        </w:rPr>
        <w:t xml:space="preserve">六、</w:t>
      </w:r>
      <w:bookmarkEnd w:id="156"/>
      <w:r>
        <w:rPr>
          <w:rFonts w:hint="eastAsia" w:ascii="宋体" w:hAnsi="宋体" w:eastAsia="宋体" w:cs="宋体"/>
          <w:b/>
          <w:bCs/>
          <w:color w:val="auto"/>
          <w:highlight w:val="none"/>
        </w:rPr>
        <w:t xml:space="preserve">成交</w:t>
      </w:r>
      <w:r/>
    </w:p>
    <w:p>
      <w:pPr>
        <w:pStyle w:val="731"/>
        <w:ind w:firstLine="480"/>
        <w:jc w:val="both"/>
        <w:keepLines/>
        <w:keepNext/>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28、确定成交单位</w:t>
      </w:r>
      <w:r/>
    </w:p>
    <w:p>
      <w:pPr>
        <w:pStyle w:val="731"/>
        <w:ind w:firstLine="480"/>
        <w:jc w:val="both"/>
        <w:spacing w:before="0" w:beforeAutospacing="0" w:after="0" w:afterAutospacing="0" w:line="360" w:lineRule="auto"/>
        <w:widowControl w:val="off"/>
        <w:tabs>
          <w:tab w:val="left" w:pos="901"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28.1 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731"/>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731"/>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28.2 采购人从评审报告提出的成交候选供应商中，按照排序由高到低的原则确定成交供应商。采购人确定成交供应商后，代理机构将在“江苏政府采购网”发布成交结果公告，公告期限为1个工作日。</w:t>
      </w:r>
      <w:r/>
    </w:p>
    <w:p>
      <w:pPr>
        <w:pStyle w:val="731"/>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28.3 若有充分证据证明，成交供应商出现下列情况之一的，一经查实，将被取消成交资格：</w:t>
      </w:r>
      <w:r/>
    </w:p>
    <w:p>
      <w:pPr>
        <w:pStyle w:val="731"/>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28.3.1提供虚假材料谋取成交的。</w:t>
      </w:r>
      <w:r/>
    </w:p>
    <w:p>
      <w:pPr>
        <w:pStyle w:val="731"/>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28.3.2与评审专家、采购人、其他供应商或者代理机构工作人员恶意串通的。</w:t>
      </w:r>
      <w:r/>
    </w:p>
    <w:p>
      <w:pPr>
        <w:pStyle w:val="731"/>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28.3.3向评审专家、采购人或代理机构工作人员行贿或者提供其他不正当利益的。</w:t>
      </w:r>
      <w:r/>
    </w:p>
    <w:p>
      <w:pPr>
        <w:pStyle w:val="731"/>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28.3.4恶意竞争，最后报价明显低于其自身合理成本且又无法提供证明的。</w:t>
      </w:r>
      <w:r/>
    </w:p>
    <w:p>
      <w:pPr>
        <w:pStyle w:val="731"/>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28.3.5不满足本磋商文件规定的实质性要求，但在评审过程中又未被磋商小组发现的。</w:t>
      </w:r>
      <w:r/>
    </w:p>
    <w:p>
      <w:pPr>
        <w:pStyle w:val="731"/>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28.3.6成交后无正当理由拒不与采购人签订政府采购合同或者未按照磋商文件确定的事项签订政府采购合同的。</w:t>
      </w:r>
      <w:r/>
    </w:p>
    <w:p>
      <w:pPr>
        <w:pStyle w:val="731"/>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28.3.7将政府采购合同转包的。</w:t>
      </w:r>
      <w:r/>
    </w:p>
    <w:p>
      <w:pPr>
        <w:pStyle w:val="731"/>
        <w:ind w:firstLine="480"/>
        <w:jc w:val="both"/>
        <w:keepLines/>
        <w:keepNext/>
        <w:spacing w:before="0" w:beforeAutospacing="0" w:after="0" w:afterAutospacing="0" w:line="360" w:lineRule="auto"/>
        <w:widowControl w:val="off"/>
        <w:rPr>
          <w:rFonts w:hint="eastAsia" w:ascii="宋体" w:hAnsi="宋体" w:eastAsia="宋体" w:cs="宋体"/>
          <w:color w:val="auto"/>
          <w:highlight w:val="none"/>
        </w:rPr>
      </w:pPr>
      <w:r/>
      <w:bookmarkStart w:id="157" w:name="_Toc200451960"/>
      <w:r>
        <w:rPr>
          <w:rFonts w:hint="eastAsia" w:ascii="宋体" w:hAnsi="宋体" w:eastAsia="宋体" w:cs="宋体"/>
          <w:color w:val="auto"/>
          <w:highlight w:val="none"/>
        </w:rPr>
        <w:t xml:space="preserve">29、质疑处理</w:t>
      </w:r>
      <w:bookmarkEnd w:id="157"/>
      <w:r/>
      <w:r/>
    </w:p>
    <w:p>
      <w:pPr>
        <w:pStyle w:val="731"/>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29.1 提出质疑的供应商应当是参与所质疑项目采购活动的供应商。潜在供应商依法获取其可质疑的采购文件的，可以对采购文件提出质疑。</w:t>
      </w:r>
      <w:r/>
    </w:p>
    <w:p>
      <w:pPr>
        <w:pStyle w:val="731"/>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29.2 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pStyle w:val="731"/>
        <w:ind w:firstLine="482"/>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29.2.1对可以质疑的采购文件提出质疑的，为收到采购文件之日或者采购文件公告期限届满之日。</w:t>
      </w:r>
      <w:r>
        <w:rPr>
          <w:rFonts w:hint="eastAsia" w:ascii="宋体" w:hAnsi="宋体" w:eastAsia="宋体" w:cs="宋体"/>
          <w:color w:val="auto"/>
          <w:highlight w:val="none"/>
        </w:rPr>
        <w:br/>
      </w:r>
      <w:r>
        <w:rPr>
          <w:rFonts w:hint="eastAsia" w:ascii="宋体" w:hAnsi="宋体" w:eastAsia="宋体" w:cs="宋体"/>
          <w:color w:val="auto"/>
          <w:highlight w:val="none"/>
        </w:rPr>
        <w:t xml:space="preserve">    29.2.2对采购过程提出质疑的，为各采购程序环节结束之日。</w:t>
      </w:r>
      <w:r>
        <w:rPr>
          <w:rFonts w:hint="eastAsia" w:ascii="宋体" w:hAnsi="宋体" w:eastAsia="宋体" w:cs="宋体"/>
          <w:color w:val="auto"/>
          <w:highlight w:val="none"/>
        </w:rPr>
        <w:br/>
      </w:r>
      <w:r>
        <w:rPr>
          <w:rFonts w:hint="eastAsia" w:ascii="宋体" w:hAnsi="宋体" w:eastAsia="宋体" w:cs="宋体"/>
          <w:color w:val="auto"/>
          <w:highlight w:val="none"/>
        </w:rPr>
        <w:t xml:space="preserve">    29.2.3对成交结果提出质疑的，为成交结果公告期限届满之日。</w:t>
      </w:r>
      <w:r/>
    </w:p>
    <w:p>
      <w:pPr>
        <w:pStyle w:val="731"/>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pStyle w:val="731"/>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29.3 质疑函应当使用范本（详见江苏政府采购网）。</w:t>
      </w:r>
      <w:r/>
    </w:p>
    <w:p>
      <w:pPr>
        <w:pStyle w:val="731"/>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供应商提出质疑应当提交质疑函和必要的证明材料。应当包括下列内容：</w:t>
      </w:r>
      <w:r/>
    </w:p>
    <w:p>
      <w:pPr>
        <w:pStyle w:val="731"/>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（1）供应商的姓名或者名称、地址、邮编、联系人及联系电话；</w:t>
      </w:r>
      <w:r/>
    </w:p>
    <w:p>
      <w:pPr>
        <w:pStyle w:val="731"/>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（2）质疑项目的名称、编号；</w:t>
      </w:r>
      <w:r/>
    </w:p>
    <w:p>
      <w:pPr>
        <w:pStyle w:val="731"/>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（3）具体、明确的质疑事项和与质疑事项相关的请求；</w:t>
      </w:r>
      <w:r/>
    </w:p>
    <w:p>
      <w:pPr>
        <w:pStyle w:val="731"/>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（4）事实依据；</w:t>
      </w:r>
      <w:r/>
    </w:p>
    <w:p>
      <w:pPr>
        <w:pStyle w:val="731"/>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（5）必要的法律依据；</w:t>
      </w:r>
      <w:r/>
    </w:p>
    <w:p>
      <w:pPr>
        <w:pStyle w:val="731"/>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（6）提出质疑的日期；</w:t>
      </w:r>
      <w:r/>
    </w:p>
    <w:p>
      <w:pPr>
        <w:pStyle w:val="731"/>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（7）必要的证明材料；</w:t>
      </w:r>
      <w:r/>
    </w:p>
    <w:p>
      <w:pPr>
        <w:pStyle w:val="731"/>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（8）采购文件(交易文件)下载回执函；</w:t>
      </w:r>
      <w:r/>
    </w:p>
    <w:p>
      <w:pPr>
        <w:pStyle w:val="731"/>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（9）营业执照复印件及授权委托书原件、法定代表人（单位负责人）身份证复印件、委托代理人身份证复印件。</w:t>
      </w:r>
      <w:r/>
    </w:p>
    <w:p>
      <w:pPr>
        <w:pStyle w:val="731"/>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供应商为自然人的，应当由本人签字；供应商为法人或者其他组织的，应当由法定代表人、主要负责人，或者其委托代理人签字或者盖章，并加盖单位公章。</w:t>
      </w:r>
      <w:r/>
    </w:p>
    <w:p>
      <w:pPr>
        <w:pStyle w:val="731"/>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29.4 供应商（含潜在供应商）对采购方式、采购需求、供应商资格条件、评审方法与评审标准、合同文本的询问、质疑请向采购人提出，由采购人负责答复。供应商对其他事项的询问、质疑请向代理机构提出，由代理机构负责答复。</w:t>
      </w:r>
      <w:r/>
    </w:p>
    <w:p>
      <w:pPr>
        <w:pStyle w:val="731"/>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供应商（含潜在供应商）对与本项目有关的所有询问、质疑均请向采购人提出，由采购人负责答复。</w:t>
      </w:r>
      <w:r/>
    </w:p>
    <w:p>
      <w:pPr>
        <w:pStyle w:val="731"/>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采购人及代理机构只接收以纸质原件形式送达的质疑。</w:t>
      </w:r>
      <w:r/>
    </w:p>
    <w:p>
      <w:pPr>
        <w:pStyle w:val="731"/>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采购人质疑接收人及联系方式见本磋商文件第一章。</w:t>
      </w:r>
      <w:r/>
    </w:p>
    <w:p>
      <w:pPr>
        <w:pStyle w:val="731"/>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29.5 以下情形的质疑不予受理</w:t>
      </w:r>
      <w:r/>
    </w:p>
    <w:p>
      <w:pPr>
        <w:pStyle w:val="731"/>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29.5.1内容不符合《政府采购质疑和投诉办法》第十二条规定的质疑。</w:t>
      </w:r>
      <w:r/>
    </w:p>
    <w:p>
      <w:pPr>
        <w:pStyle w:val="731"/>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29.5.2超出政府采购法定期限的质疑。</w:t>
      </w:r>
      <w:r/>
    </w:p>
    <w:p>
      <w:pPr>
        <w:pStyle w:val="731"/>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29.5.3以传真、电子邮件等方式递交的非原件形式的质疑。</w:t>
      </w:r>
      <w:r/>
    </w:p>
    <w:p>
      <w:pPr>
        <w:pStyle w:val="731"/>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29.5.4未参加磋商活动的供应商或在磋商活动中自身权益未受到损害的供应商所提出的质疑。</w:t>
      </w:r>
      <w:r/>
    </w:p>
    <w:p>
      <w:pPr>
        <w:pStyle w:val="731"/>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29.5.5供应商组成联合体参加磋商，联合体中任何一方或多方未按要求签字、盖章、加盖公章的质疑。</w:t>
      </w:r>
      <w:r/>
    </w:p>
    <w:p>
      <w:pPr>
        <w:pStyle w:val="731"/>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pStyle w:val="731"/>
        <w:ind w:firstLine="480"/>
        <w:jc w:val="both"/>
        <w:keepLines/>
        <w:keepNext/>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30、成交通知书</w:t>
      </w:r>
      <w:r/>
    </w:p>
    <w:p>
      <w:pPr>
        <w:pStyle w:val="731"/>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30.1 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731"/>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30.2 成交通知书将是合同的一个组成部分。对采购人和成交供应商均具有法律效力。成交通知书发出后，采购人改变成交结果的，或者成交供应商放弃成交项目的，应当依法承担法律责任。</w:t>
      </w:r>
      <w:r/>
    </w:p>
    <w:p>
      <w:pPr>
        <w:pStyle w:val="731"/>
        <w:ind w:firstLine="482"/>
        <w:jc w:val="both"/>
        <w:keepLines/>
        <w:keepNext/>
        <w:spacing w:before="0" w:beforeAutospacing="0" w:after="0" w:afterAutospacing="0" w:line="360" w:lineRule="auto"/>
        <w:widowControl w:val="off"/>
        <w:rPr>
          <w:rFonts w:hint="eastAsia" w:ascii="宋体" w:hAnsi="宋体" w:eastAsia="宋体" w:cs="宋体"/>
          <w:color w:val="auto"/>
          <w:highlight w:val="none"/>
        </w:rPr>
      </w:pPr>
      <w:r/>
      <w:bookmarkStart w:id="158" w:name="_Toc120614220"/>
      <w:r/>
      <w:bookmarkStart w:id="159" w:name="_Toc20823308"/>
      <w:r/>
      <w:bookmarkStart w:id="160" w:name="_Toc513029236"/>
      <w:r/>
      <w:bookmarkStart w:id="161" w:name="_Toc16938552"/>
      <w:r>
        <w:rPr>
          <w:rFonts w:hint="eastAsia" w:ascii="宋体" w:hAnsi="宋体" w:eastAsia="宋体" w:cs="宋体"/>
          <w:b/>
          <w:bCs/>
          <w:color w:val="auto"/>
          <w:highlight w:val="none"/>
        </w:rPr>
        <w:t xml:space="preserve">七、授予合同</w:t>
      </w:r>
      <w:bookmarkEnd w:id="158"/>
      <w:r/>
      <w:bookmarkEnd w:id="159"/>
      <w:r/>
      <w:bookmarkEnd w:id="160"/>
      <w:r/>
      <w:bookmarkEnd w:id="161"/>
      <w:r/>
      <w:r/>
    </w:p>
    <w:p>
      <w:pPr>
        <w:pStyle w:val="731"/>
        <w:ind w:firstLine="480"/>
        <w:jc w:val="both"/>
        <w:keepLines/>
        <w:keepNext/>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31、签订合同</w:t>
      </w:r>
      <w:r/>
    </w:p>
    <w:p>
      <w:pPr>
        <w:pStyle w:val="731"/>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31.l 成交供应商应当在成交通知书发出之日起三十日内，按照磋商文件确定的事项与采购人签订政府采购合同。</w:t>
      </w:r>
      <w:r/>
    </w:p>
    <w:p>
      <w:pPr>
        <w:pStyle w:val="731"/>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31.2自政府采购</w:t>
      </w:r>
      <w:r>
        <w:rPr>
          <w:rFonts w:hint="eastAsia" w:ascii="宋体" w:hAnsi="宋体" w:eastAsia="宋体" w:cs="宋体"/>
          <w:color w:val="auto"/>
          <w:highlight w:val="yellow"/>
        </w:rPr>
        <w:t xml:space="preserve">合同签订之日起2个工作日内</w:t>
      </w:r>
      <w:r>
        <w:rPr>
          <w:rFonts w:hint="eastAsia" w:ascii="宋体" w:hAnsi="宋体" w:eastAsia="宋体" w:cs="宋体"/>
          <w:color w:val="auto"/>
          <w:highlight w:val="none"/>
        </w:rPr>
        <w:t xml:space="preserve">，将政府采购合同在指定的媒体上公告。</w:t>
      </w:r>
      <w:r/>
    </w:p>
    <w:p>
      <w:pPr>
        <w:pStyle w:val="731"/>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31.3 磋商文件、成交供应商的响应文件及磋商过程中有关澄清、承诺文件均应作为合同附件。</w:t>
      </w:r>
      <w:r/>
    </w:p>
    <w:p>
      <w:pPr>
        <w:pStyle w:val="731"/>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31.4 签订合同后，</w:t>
      </w:r>
      <w:r>
        <w:rPr>
          <w:rFonts w:hint="eastAsia" w:ascii="宋体" w:hAnsi="宋体" w:eastAsia="宋体" w:cs="宋体"/>
          <w:i/>
          <w:iCs/>
          <w:color w:val="auto"/>
          <w:highlight w:val="none"/>
          <w:u w:val="single"/>
        </w:rPr>
        <w:t xml:space="preserve">成交供应商不得将合同标的进行转包</w:t>
      </w:r>
      <w:r>
        <w:rPr>
          <w:rFonts w:hint="eastAsia" w:ascii="宋体" w:hAnsi="宋体" w:eastAsia="宋体" w:cs="宋体"/>
          <w:color w:val="auto"/>
          <w:highlight w:val="none"/>
        </w:rPr>
        <w:t xml:space="preserve">。未经采购人同意，成交供应商也不得采用分包形式履行合同，否则采购人有权终止合同。转包或分包造成采购人损失的，成交供应商应承担相应赔偿责任。</w:t>
      </w:r>
      <w:r/>
    </w:p>
    <w:p>
      <w:pPr>
        <w:pStyle w:val="731"/>
        <w:ind w:firstLine="480"/>
        <w:jc w:val="both"/>
        <w:keepLines/>
        <w:keepNext/>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32、标的物的追加</w:t>
      </w:r>
      <w:r/>
    </w:p>
    <w:p>
      <w:pPr>
        <w:pStyle w:val="731"/>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32.1 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731"/>
        <w:ind w:firstLine="480"/>
        <w:jc w:val="both"/>
        <w:keepLines/>
        <w:keepNext/>
        <w:spacing w:before="0" w:beforeAutospacing="0" w:after="0" w:afterAutospacing="0" w:line="360" w:lineRule="auto"/>
        <w:widowControl w:val="off"/>
        <w:rPr>
          <w:rFonts w:hint="eastAsia" w:ascii="宋体" w:hAnsi="宋体" w:eastAsia="宋体" w:cs="宋体"/>
          <w:color w:val="auto"/>
          <w:highlight w:val="none"/>
        </w:rPr>
      </w:pPr>
      <w:r/>
      <w:bookmarkStart w:id="162" w:name="_Toc120614221"/>
      <w:r/>
      <w:bookmarkStart w:id="163" w:name="_Toc479757207"/>
      <w:r/>
      <w:bookmarkStart w:id="164" w:name="_Toc20823314"/>
      <w:r/>
      <w:bookmarkStart w:id="165" w:name="_Toc513029242"/>
      <w:r/>
      <w:bookmarkStart w:id="166" w:name="_Toc16938558"/>
      <w:r>
        <w:rPr>
          <w:rFonts w:hint="eastAsia" w:ascii="宋体" w:hAnsi="宋体" w:eastAsia="宋体" w:cs="宋体"/>
          <w:color w:val="auto"/>
          <w:highlight w:val="none"/>
        </w:rPr>
        <w:t xml:space="preserve">33、政府采购履约资金扶持政策</w:t>
      </w:r>
      <w:bookmarkEnd w:id="162"/>
      <w:r/>
      <w:bookmarkEnd w:id="163"/>
      <w:r/>
      <w:bookmarkEnd w:id="164"/>
      <w:r/>
      <w:bookmarkEnd w:id="165"/>
      <w:r/>
      <w:bookmarkEnd w:id="166"/>
      <w:r/>
      <w:r/>
    </w:p>
    <w:p>
      <w:pPr>
        <w:pStyle w:val="731"/>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成交供应商可凭政府采购合同办理融资贷款，详情请见江苏政府采购网“政采贷”专栏。</w:t>
      </w:r>
      <w:bookmarkEnd w:id="137"/>
      <w:r/>
      <w:bookmarkEnd w:id="138"/>
      <w:r/>
      <w:bookmarkEnd w:id="139"/>
      <w:r/>
      <w:r/>
    </w:p>
    <w:p>
      <w:pPr>
        <w:pStyle w:val="731"/>
        <w:ind w:firstLine="482"/>
        <w:jc w:val="both"/>
        <w:keepLines/>
        <w:keepNext/>
        <w:spacing w:before="0" w:beforeAutospacing="0" w:after="0" w:afterAutospacing="0" w:line="360" w:lineRule="auto"/>
        <w:widowControl w:val="off"/>
        <w:rPr>
          <w:rFonts w:hint="eastAsia" w:ascii="宋体" w:hAnsi="宋体" w:eastAsia="宋体" w:cs="宋体"/>
          <w:b/>
          <w:bCs/>
          <w:color w:val="auto"/>
          <w:highlight w:val="none"/>
        </w:rPr>
      </w:pPr>
      <w:r/>
      <w:bookmarkStart w:id="167" w:name="_Toc20823309"/>
      <w:r/>
      <w:bookmarkStart w:id="168" w:name="_Toc513029237"/>
      <w:r/>
      <w:bookmarkStart w:id="169" w:name="_Toc16938553"/>
      <w:r>
        <w:rPr>
          <w:rFonts w:hint="eastAsia" w:ascii="宋体" w:hAnsi="宋体" w:eastAsia="宋体" w:cs="宋体"/>
          <w:b/>
          <w:bCs/>
          <w:color w:val="auto"/>
          <w:highlight w:val="none"/>
        </w:rPr>
        <w:t xml:space="preserve">八、政策功能</w:t>
      </w:r>
      <w:bookmarkEnd w:id="167"/>
      <w:r/>
      <w:bookmarkEnd w:id="168"/>
      <w:r/>
      <w:bookmarkEnd w:id="169"/>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34、支持中小企业发展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34.1 执行财政部、工业和信息化部关于印发《政府采购促进中小企业发展管理办法》的通知（财库〔2020〕46号）、苏财购[2022]45号，本项目专门面向中型企业、小型企业、微型企业、残疾人福利性单位、监狱企业进行采购，符合文件要求的供应商应提交《中小企业声明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34.2 供应商为残疾人福利性单位的，符合财库〔2017〕141号文件规定条件的残疾人福利性单位视同小型、微型企业，提供《残疾人福利性单位声明函》。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34.3 供应商为监狱企业的，根据《财政部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35、支持绿色发展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35.1 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35.2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35.3 政府采购项目执行《财政部 生态环境部 工业和信息化部关于印发&lt;绿色数据中心政府采购需求标准（试行）&gt;的通知》（财库〔2023〕7号）相关要求。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35.4 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pStyle w:val="687"/>
        <w:jc w:val="center"/>
        <w:rPr>
          <w:rFonts w:hint="eastAsia" w:ascii="宋体" w:hAnsi="宋体" w:eastAsia="宋体" w:cs="宋体"/>
          <w:color w:val="auto"/>
          <w:highlight w:val="none"/>
        </w:rPr>
      </w:pPr>
      <w:r/>
      <w:bookmarkStart w:id="170" w:name="_Toc18421"/>
      <w:r/>
      <w:bookmarkStart w:id="171" w:name="_Toc948"/>
      <w:r/>
      <w:bookmarkStart w:id="172" w:name="_Toc465856613"/>
      <w:r/>
      <w:bookmarkStart w:id="173" w:name="_Toc26254"/>
      <w:r/>
      <w:bookmarkStart w:id="174" w:name="_Toc19303"/>
      <w:r>
        <w:rPr>
          <w:rFonts w:hint="eastAsia" w:ascii="宋体" w:hAnsi="宋体" w:eastAsia="宋体" w:cs="宋体"/>
          <w:color w:val="auto"/>
          <w:highlight w:val="none"/>
        </w:rPr>
        <w:t xml:space="preserve">第三章 </w:t>
      </w:r>
      <w:bookmarkEnd w:id="170"/>
      <w:r/>
      <w:bookmarkEnd w:id="171"/>
      <w:r/>
      <w:bookmarkEnd w:id="172"/>
      <w:r/>
      <w:bookmarkEnd w:id="173"/>
      <w:r>
        <w:rPr>
          <w:rFonts w:hint="eastAsia" w:ascii="宋体" w:hAnsi="宋体" w:eastAsia="宋体" w:cs="宋体"/>
          <w:color w:val="auto"/>
          <w:highlight w:val="none"/>
        </w:rPr>
        <w:t xml:space="preserve">合同文本</w:t>
      </w:r>
      <w:bookmarkEnd w:id="174"/>
      <w:r/>
      <w:r/>
    </w:p>
    <w:p>
      <w:pPr>
        <w:ind w:firstLine="2078"/>
        <w:rPr>
          <w:rFonts w:hint="eastAsia" w:ascii="宋体" w:hAnsi="宋体" w:eastAsia="宋体" w:cs="宋体"/>
          <w:b/>
          <w:bCs/>
          <w:color w:val="auto"/>
          <w:sz w:val="52"/>
          <w:highlight w:val="none"/>
        </w:rPr>
      </w:pPr>
      <w:r>
        <w:rPr>
          <w:rFonts w:hint="eastAsia" w:ascii="宋体" w:hAnsi="宋体" w:eastAsia="宋体" w:cs="宋体"/>
          <w:b/>
          <w:bCs/>
          <w:color w:val="auto"/>
          <w:sz w:val="52"/>
          <w:highlight w:val="none"/>
        </w:rPr>
      </w:r>
      <w:r/>
    </w:p>
    <w:p>
      <w:pPr>
        <w:jc w:val="center"/>
        <w:rPr>
          <w:rFonts w:hint="eastAsia"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t xml:space="preserve">连 云 港 市 政 府 采 购</w:t>
      </w:r>
      <w:r/>
    </w:p>
    <w:p>
      <w:pPr>
        <w:ind w:firstLine="960"/>
        <w:rPr>
          <w:rFonts w:hint="eastAsia" w:ascii="宋体" w:hAnsi="宋体" w:eastAsia="宋体" w:cs="宋体"/>
          <w:color w:val="auto"/>
          <w:sz w:val="48"/>
          <w:szCs w:val="48"/>
          <w:highlight w:val="none"/>
        </w:rPr>
      </w:pPr>
      <w:r>
        <w:rPr>
          <w:rFonts w:hint="eastAsia" w:ascii="宋体" w:hAnsi="宋体" w:eastAsia="宋体" w:cs="宋体"/>
          <w:color w:val="auto"/>
          <w:sz w:val="48"/>
          <w:szCs w:val="48"/>
          <w:highlight w:val="none"/>
        </w:rPr>
      </w:r>
      <w:r/>
    </w:p>
    <w:p>
      <w:pPr>
        <w:ind w:firstLine="960"/>
        <w:rPr>
          <w:rFonts w:hint="eastAsia" w:ascii="宋体" w:hAnsi="宋体" w:eastAsia="宋体" w:cs="宋体"/>
          <w:color w:val="auto"/>
          <w:sz w:val="48"/>
          <w:szCs w:val="48"/>
          <w:highlight w:val="none"/>
        </w:rPr>
      </w:pPr>
      <w:r>
        <w:rPr>
          <w:rFonts w:hint="eastAsia" w:ascii="宋体" w:hAnsi="宋体" w:eastAsia="宋体" w:cs="宋体"/>
          <w:color w:val="auto"/>
          <w:sz w:val="48"/>
          <w:szCs w:val="48"/>
          <w:highlight w:val="none"/>
        </w:rPr>
      </w:r>
      <w:r/>
    </w:p>
    <w:p>
      <w:pPr>
        <w:ind w:firstLine="1918"/>
        <w:rPr>
          <w:rFonts w:hint="eastAsia" w:ascii="宋体" w:hAnsi="宋体" w:eastAsia="宋体" w:cs="宋体"/>
          <w:b/>
          <w:bCs/>
          <w:color w:val="auto"/>
          <w:sz w:val="48"/>
          <w:szCs w:val="48"/>
          <w:highlight w:val="none"/>
        </w:rPr>
        <w:outlineLvl w:val="1"/>
      </w:pPr>
      <w:r/>
      <w:bookmarkStart w:id="175" w:name="_Toc1891"/>
      <w:r>
        <w:rPr>
          <w:rFonts w:hint="eastAsia" w:ascii="宋体" w:hAnsi="宋体" w:eastAsia="宋体" w:cs="宋体"/>
          <w:b/>
          <w:bCs/>
          <w:color w:val="auto"/>
          <w:sz w:val="48"/>
          <w:szCs w:val="48"/>
          <w:highlight w:val="none"/>
        </w:rPr>
        <w:t xml:space="preserve">合同</w:t>
      </w:r>
      <w:bookmarkEnd w:id="175"/>
      <w:r/>
      <w:r/>
    </w:p>
    <w:p>
      <w:pPr>
        <w:ind w:firstLine="2502"/>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705"/>
        <w:ind w:firstLine="851"/>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960"/>
        <w:rPr>
          <w:rFonts w:hint="eastAsia" w:ascii="宋体" w:hAnsi="宋体" w:eastAsia="宋体" w:cs="宋体"/>
          <w:color w:val="auto"/>
          <w:sz w:val="48"/>
          <w:szCs w:val="48"/>
          <w:highlight w:val="none"/>
        </w:rPr>
      </w:pPr>
      <w:r>
        <w:rPr>
          <w:rFonts w:hint="eastAsia" w:ascii="宋体" w:hAnsi="宋体" w:eastAsia="宋体" w:cs="宋体"/>
          <w:color w:val="auto"/>
          <w:sz w:val="48"/>
          <w:szCs w:val="48"/>
          <w:highlight w:val="none"/>
        </w:rPr>
      </w:r>
      <w:r/>
    </w:p>
    <w:p>
      <w:pPr>
        <w:ind w:firstLine="1928"/>
        <w:rPr>
          <w:rFonts w:hint="eastAsia"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t xml:space="preserve">合同编号：</w:t>
      </w:r>
      <w:r/>
    </w:p>
    <w:p>
      <w:pPr>
        <w:ind w:firstLine="960"/>
        <w:rPr>
          <w:rFonts w:hint="eastAsia" w:ascii="宋体" w:hAnsi="宋体" w:eastAsia="宋体" w:cs="宋体"/>
          <w:color w:val="auto"/>
          <w:sz w:val="48"/>
          <w:szCs w:val="48"/>
          <w:highlight w:val="none"/>
        </w:rPr>
      </w:pPr>
      <w:r>
        <w:rPr>
          <w:rFonts w:hint="eastAsia" w:ascii="宋体" w:hAnsi="宋体" w:eastAsia="宋体" w:cs="宋体"/>
          <w:color w:val="auto"/>
          <w:sz w:val="48"/>
          <w:szCs w:val="48"/>
          <w:highlight w:val="none"/>
        </w:rPr>
      </w:r>
      <w:r/>
    </w:p>
    <w:p>
      <w:pPr>
        <w:ind w:firstLine="960"/>
        <w:rPr>
          <w:rFonts w:hint="eastAsia" w:ascii="宋体" w:hAnsi="宋体" w:eastAsia="宋体" w:cs="宋体"/>
          <w:color w:val="auto"/>
          <w:sz w:val="48"/>
          <w:szCs w:val="48"/>
          <w:highlight w:val="none"/>
        </w:rPr>
      </w:pPr>
      <w:r>
        <w:rPr>
          <w:rFonts w:hint="eastAsia" w:ascii="宋体" w:hAnsi="宋体" w:eastAsia="宋体" w:cs="宋体"/>
          <w:color w:val="auto"/>
          <w:sz w:val="48"/>
          <w:szCs w:val="48"/>
          <w:highlight w:val="none"/>
        </w:rPr>
      </w:r>
      <w:r/>
    </w:p>
    <w:p>
      <w:pPr>
        <w:ind w:firstLine="960"/>
        <w:rPr>
          <w:rFonts w:hint="eastAsia" w:ascii="宋体" w:hAnsi="宋体" w:eastAsia="宋体" w:cs="宋体"/>
          <w:color w:val="auto"/>
          <w:sz w:val="48"/>
          <w:szCs w:val="48"/>
          <w:highlight w:val="none"/>
        </w:rPr>
      </w:pPr>
      <w:r>
        <w:rPr>
          <w:rFonts w:hint="eastAsia" w:ascii="宋体" w:hAnsi="宋体" w:eastAsia="宋体" w:cs="宋体"/>
          <w:color w:val="auto"/>
          <w:sz w:val="48"/>
          <w:szCs w:val="48"/>
          <w:highlight w:val="none"/>
        </w:rPr>
      </w:r>
      <w:r/>
    </w:p>
    <w:p>
      <w:pPr>
        <w:ind w:firstLine="1918"/>
        <w:rPr>
          <w:rFonts w:hint="eastAsia"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t xml:space="preserve">采购人：</w:t>
      </w:r>
      <w:r/>
    </w:p>
    <w:p>
      <w:pPr>
        <w:ind w:firstLine="1918"/>
        <w:rPr>
          <w:rFonts w:hint="eastAsia" w:ascii="宋体" w:hAnsi="宋体" w:eastAsia="宋体" w:cs="宋体"/>
          <w:color w:val="auto"/>
          <w:sz w:val="48"/>
          <w:szCs w:val="48"/>
          <w:highlight w:val="none"/>
        </w:rPr>
      </w:pPr>
      <w:r>
        <w:rPr>
          <w:rFonts w:hint="eastAsia" w:ascii="宋体" w:hAnsi="宋体" w:eastAsia="宋体" w:cs="宋体"/>
          <w:b/>
          <w:bCs/>
          <w:color w:val="auto"/>
          <w:sz w:val="48"/>
          <w:szCs w:val="48"/>
          <w:highlight w:val="none"/>
        </w:rPr>
        <w:t xml:space="preserve">成交供应商：</w:t>
      </w:r>
      <w:r/>
    </w:p>
    <w:p>
      <w:pPr>
        <w:pStyle w:val="711"/>
        <w:spacing w:line="500" w:lineRule="exact"/>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以下为成交后签定本项目合同的通用条款，成交供应商不得提出实质性的修改，关于专用条款将由采购人与成交供应商结合本项目具体情况协商后签订。</w:t>
      </w:r>
      <w:r/>
    </w:p>
    <w:p>
      <w:pPr>
        <w:rPr>
          <w:rFonts w:hint="eastAsia" w:ascii="宋体" w:hAnsi="宋体" w:eastAsia="宋体" w:cs="宋体"/>
          <w:b/>
          <w:color w:val="auto"/>
          <w:sz w:val="32"/>
          <w:szCs w:val="32"/>
          <w:highlight w:val="none"/>
        </w:rPr>
      </w:pPr>
      <w:r/>
      <w:bookmarkStart w:id="176" w:name="_Hlt16619369"/>
      <w:r/>
      <w:bookmarkEnd w:id="176"/>
      <w:r>
        <w:rPr>
          <w:rFonts w:hint="eastAsia" w:ascii="宋体" w:hAnsi="宋体" w:eastAsia="宋体" w:cs="宋体"/>
          <w:b/>
          <w:color w:val="auto"/>
          <w:sz w:val="32"/>
          <w:szCs w:val="32"/>
          <w:highlight w:val="none"/>
        </w:rPr>
        <w:br w:type="page" w:clear="all"/>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江苏省政府采购合同</w:t>
      </w:r>
      <w:bookmarkStart w:id="177" w:name="_Toc12693"/>
      <w:r/>
      <w:bookmarkStart w:id="178" w:name="_Toc465856614"/>
      <w:r>
        <w:rPr>
          <w:rFonts w:hint="eastAsia" w:ascii="宋体" w:hAnsi="宋体" w:eastAsia="宋体" w:cs="宋体"/>
          <w:b/>
          <w:color w:val="auto"/>
          <w:sz w:val="32"/>
          <w:szCs w:val="32"/>
          <w:highlight w:val="none"/>
        </w:rPr>
        <w:t xml:space="preserve">（合同编号）</w:t>
      </w:r>
      <w:r/>
    </w:p>
    <w:p>
      <w:pPr>
        <w:pStyle w:val="703"/>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见证方：</w:t>
      </w:r>
      <w:r>
        <w:rPr>
          <w:rFonts w:hint="eastAsia" w:ascii="宋体" w:hAnsi="宋体" w:eastAsia="宋体" w:cs="宋体"/>
          <w:color w:val="auto"/>
          <w:sz w:val="24"/>
          <w:highlight w:val="none"/>
          <w:lang w:eastAsia="zh-CN"/>
        </w:rPr>
        <w:t xml:space="preserve">连云港衡致工程造价咨询有限公司</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甲、乙双方根据      年   月  日   【项目名称】  项目（项目编号： 【项目编号】 ）竞争性磋商采购的结果，签订本合同。</w:t>
      </w:r>
      <w:r/>
    </w:p>
    <w:p>
      <w:pPr>
        <w:pStyle w:val="711"/>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一、货物内容</w:t>
      </w:r>
      <w:r/>
    </w:p>
    <w:p>
      <w:pPr>
        <w:pStyle w:val="711"/>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 货物及其数量如下表</w:t>
      </w:r>
      <w:r/>
    </w:p>
    <w:tbl>
      <w:tblPr>
        <w:tblStyle w:val="697"/>
        <w:tblW w:w="487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4"/>
        <w:gridCol w:w="1245"/>
        <w:gridCol w:w="900"/>
        <w:gridCol w:w="1950"/>
        <w:gridCol w:w="765"/>
        <w:gridCol w:w="795"/>
        <w:gridCol w:w="870"/>
        <w:gridCol w:w="1048"/>
      </w:tblGrid>
      <w:tr>
        <w:trPr>
          <w:cantSplit/>
          <w:jc w:val="center"/>
          <w:trHeight w:val="510"/>
        </w:trPr>
        <w:tc>
          <w:tcPr>
            <w:tcW w:w="2144" w:type="dxa"/>
            <w:vAlign w:val="center"/>
            <w:textDirection w:val="lrTb"/>
            <w:noWrap/>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货物名称</w:t>
            </w:r>
            <w:r/>
          </w:p>
        </w:tc>
        <w:tc>
          <w:tcPr>
            <w:tcW w:w="1245" w:type="dxa"/>
            <w:vAlign w:val="center"/>
            <w:textDirection w:val="lrTb"/>
            <w:noWrap/>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生产厂家</w:t>
            </w:r>
            <w:r/>
          </w:p>
        </w:tc>
        <w:tc>
          <w:tcPr>
            <w:tcW w:w="900" w:type="dxa"/>
            <w:vAlign w:val="center"/>
            <w:textDirection w:val="lrTb"/>
            <w:noWrap/>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品牌</w:t>
            </w:r>
            <w:r/>
          </w:p>
        </w:tc>
        <w:tc>
          <w:tcPr>
            <w:tcW w:w="1950" w:type="dxa"/>
            <w:vAlign w:val="center"/>
            <w:textDirection w:val="lrTb"/>
            <w:noWrap/>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主要技术规格要求</w:t>
            </w:r>
            <w:r/>
          </w:p>
        </w:tc>
        <w:tc>
          <w:tcPr>
            <w:tcW w:w="765" w:type="dxa"/>
            <w:vAlign w:val="center"/>
            <w:textDirection w:val="lrTb"/>
            <w:noWrap/>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单位</w:t>
            </w:r>
            <w:r/>
          </w:p>
        </w:tc>
        <w:tc>
          <w:tcPr>
            <w:tcW w:w="795" w:type="dxa"/>
            <w:vAlign w:val="center"/>
            <w:textDirection w:val="lrTb"/>
            <w:noWrap/>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数量</w:t>
            </w:r>
            <w:r/>
          </w:p>
        </w:tc>
        <w:tc>
          <w:tcPr>
            <w:tcW w:w="870" w:type="dxa"/>
            <w:vAlign w:val="center"/>
            <w:textDirection w:val="lrTb"/>
            <w:noWrap/>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单价</w:t>
            </w:r>
            <w:r/>
          </w:p>
        </w:tc>
        <w:tc>
          <w:tcPr>
            <w:tcW w:w="1048" w:type="dxa"/>
            <w:vAlign w:val="center"/>
            <w:textDirection w:val="lrTb"/>
            <w:noWrap/>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总价</w:t>
            </w:r>
            <w:r/>
          </w:p>
        </w:tc>
      </w:tr>
      <w:tr>
        <w:trPr>
          <w:cantSplit/>
          <w:jc w:val="center"/>
          <w:trHeight w:val="510"/>
        </w:trPr>
        <w:tc>
          <w:tcPr>
            <w:tcW w:w="2144" w:type="dxa"/>
            <w:vAlign w:val="center"/>
            <w:textDirection w:val="lrTb"/>
            <w:noWrap/>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1245" w:type="dxa"/>
            <w:vAlign w:val="center"/>
            <w:textDirection w:val="lrTb"/>
            <w:noWrap/>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900" w:type="dxa"/>
            <w:vAlign w:val="center"/>
            <w:textDirection w:val="lrTb"/>
            <w:noWrap/>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1950" w:type="dxa"/>
            <w:vAlign w:val="center"/>
            <w:textDirection w:val="lrTb"/>
            <w:noWrap/>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765" w:type="dxa"/>
            <w:vAlign w:val="center"/>
            <w:textDirection w:val="lrTb"/>
            <w:noWrap/>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795" w:type="dxa"/>
            <w:vAlign w:val="center"/>
            <w:textDirection w:val="lrTb"/>
            <w:noWrap/>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870" w:type="dxa"/>
            <w:vAlign w:val="center"/>
            <w:textDirection w:val="lrTb"/>
            <w:noWrap/>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1048" w:type="dxa"/>
            <w:vAlign w:val="center"/>
            <w:textDirection w:val="lrTb"/>
            <w:noWrap/>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r>
      <w:tr>
        <w:trPr>
          <w:cantSplit/>
          <w:jc w:val="center"/>
          <w:trHeight w:val="510"/>
        </w:trPr>
        <w:tc>
          <w:tcPr>
            <w:gridSpan w:val="6"/>
            <w:tcW w:w="7799" w:type="dxa"/>
            <w:vAlign w:val="center"/>
            <w:textDirection w:val="lrTb"/>
            <w:noWrap/>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总计大写：</w:t>
            </w:r>
            <w:r/>
          </w:p>
        </w:tc>
        <w:tc>
          <w:tcPr>
            <w:gridSpan w:val="2"/>
            <w:tcW w:w="1918" w:type="dxa"/>
            <w:vAlign w:val="center"/>
            <w:textDirection w:val="lrTb"/>
            <w:noWrap/>
          </w:tcPr>
          <w:p>
            <w:pP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p>
        </w:tc>
      </w:tr>
    </w:tbl>
    <w:p>
      <w:pPr>
        <w:pStyle w:val="711"/>
        <w:ind w:firstLine="480"/>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Cs/>
          <w:color w:val="auto"/>
          <w:sz w:val="24"/>
          <w:szCs w:val="24"/>
          <w:highlight w:val="none"/>
        </w:rPr>
        <w:t xml:space="preserve">1.2 交货地点：</w:t>
      </w:r>
      <w:r>
        <w:rPr>
          <w:rFonts w:hint="eastAsia" w:hAnsi="宋体" w:cs="宋体"/>
          <w:bCs/>
          <w:color w:val="auto"/>
          <w:sz w:val="24"/>
          <w:szCs w:val="24"/>
          <w:highlight w:val="none"/>
          <w:lang w:val="en-US" w:eastAsia="zh-CN"/>
        </w:rPr>
        <w:t xml:space="preserve">甲方指定乡镇</w:t>
      </w:r>
      <w:r>
        <w:rPr>
          <w:rFonts w:hint="eastAsia" w:ascii="宋体" w:hAnsi="宋体" w:eastAsia="宋体" w:cs="宋体"/>
          <w:bCs/>
          <w:color w:val="auto"/>
          <w:sz w:val="24"/>
          <w:szCs w:val="24"/>
          <w:highlight w:val="none"/>
        </w:rPr>
        <w:t xml:space="preserve">。</w:t>
      </w:r>
      <w:r/>
    </w:p>
    <w:p>
      <w:pPr>
        <w:pStyle w:val="711"/>
        <w:numPr>
          <w:ilvl w:val="0"/>
          <w:numId w:val="4"/>
        </w:num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合同总价</w:t>
      </w:r>
      <w:r/>
    </w:p>
    <w:p>
      <w:pPr>
        <w:pStyle w:val="71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本合同总金额为（大写）：元（￥）人民币。</w:t>
      </w:r>
      <w:r/>
    </w:p>
    <w:p>
      <w:pPr>
        <w:pStyle w:val="731"/>
        <w:ind w:firstLine="480"/>
        <w:jc w:val="both"/>
        <w:spacing w:before="0" w:beforeAutospacing="0" w:after="0" w:afterAutospacing="0"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rPr>
        <w:t xml:space="preserve">2.2 本合同总金额为完成本项目所有含税费用。包含但不限于货物本身价格、人工费、检测、包装费、运输费、装卸费、安装调试费</w:t>
      </w:r>
      <w:r>
        <w:rPr>
          <w:rFonts w:hint="eastAsia" w:ascii="宋体" w:hAnsi="宋体" w:eastAsia="宋体" w:cs="宋体"/>
          <w:color w:val="auto"/>
          <w:highlight w:val="none"/>
          <w:lang w:val="zh-CN"/>
        </w:rPr>
        <w:t xml:space="preserve">、售后服务、</w:t>
      </w:r>
      <w:r>
        <w:rPr>
          <w:rFonts w:hint="eastAsia" w:ascii="宋体" w:hAnsi="宋体" w:eastAsia="宋体" w:cs="宋体"/>
          <w:color w:val="auto"/>
          <w:highlight w:val="none"/>
        </w:rPr>
        <w:t xml:space="preserve">管理、</w:t>
      </w:r>
      <w:r>
        <w:rPr>
          <w:rFonts w:hint="eastAsia" w:ascii="宋体" w:hAnsi="宋体" w:eastAsia="宋体" w:cs="宋体"/>
          <w:color w:val="auto"/>
          <w:highlight w:val="none"/>
          <w:lang w:val="zh-CN"/>
        </w:rPr>
        <w:t xml:space="preserve">利润、税金、保险、风险、政策性文件规定及合同包含的所有风险、责任等各项应有费用。</w:t>
      </w:r>
      <w:r/>
    </w:p>
    <w:p>
      <w:pPr>
        <w:pStyle w:val="711"/>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三、技术资料</w:t>
      </w:r>
      <w:r/>
    </w:p>
    <w:p>
      <w:pPr>
        <w:pStyle w:val="71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甲方向乙方提供货物的有关技术资料。</w:t>
      </w:r>
      <w:r/>
    </w:p>
    <w:p>
      <w:pPr>
        <w:pStyle w:val="71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乙方应按磋商文件规定的时间向甲方提供使用货物的有关技术资料。</w:t>
      </w:r>
      <w:r/>
    </w:p>
    <w:p>
      <w:pPr>
        <w:pStyle w:val="71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 没有甲方事先书面同意，乙方不得将由甲方提供的有关合同或任何合同条文、规格、计划、资料提供给与履行本合同无关的任何其他人。即使向履行本合同有关的人员提供，也应注意保密并限于履行合同的必需范围。</w:t>
      </w:r>
      <w:r/>
    </w:p>
    <w:p>
      <w:pPr>
        <w:pStyle w:val="711"/>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四、知识产权</w:t>
      </w:r>
      <w:r/>
    </w:p>
    <w:p>
      <w:pPr>
        <w:pStyle w:val="71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乙方应保证所提供的货物或其任何一部分均不会侵犯任何第三方的专利权、商标权或著作权。</w:t>
      </w:r>
      <w:r/>
    </w:p>
    <w:p>
      <w:pPr>
        <w:pStyle w:val="71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 乙方保证所交付的货物所有权完全属于乙方且无任何抵押、查封等产权瑕疵。如乙方所交货物有产权瑕疵的，视为乙方违约，按照本合同第12条相关条款约定处理。但在已经全部支付完合同款后才发现有产权瑕疵的，除了支付违约金，乙方还应负担由此而产生的一切损失。</w:t>
      </w:r>
      <w:r/>
    </w:p>
    <w:p>
      <w:pPr>
        <w:pStyle w:val="711"/>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五、转包或分包</w:t>
      </w:r>
      <w:r/>
    </w:p>
    <w:p>
      <w:pPr>
        <w:pStyle w:val="71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本合同范围内所需货物，应由乙方直接供应，不得转让他人供应；</w:t>
      </w:r>
      <w:r/>
    </w:p>
    <w:p>
      <w:pPr>
        <w:pStyle w:val="71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 除非得到甲方的书面同意，乙方不得部分分包给他人供应；</w:t>
      </w:r>
      <w:r/>
    </w:p>
    <w:p>
      <w:pPr>
        <w:pStyle w:val="71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 如有转让和未经甲方同意的分包行为，甲方有权终止合同。 </w:t>
      </w:r>
      <w:r/>
    </w:p>
    <w:p>
      <w:pPr>
        <w:pStyle w:val="711"/>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六、质保期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 质保期</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（承诺延长的按其承诺）。在免费质保期内乙方对产品质量实行三包，因产品配置或制造质量问题而引起的故障，乙方应在24小时内立即予以免费维修或更换，由此引起的一切费用由乙方承担。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 质保期满后，甲方如需延长维保期限，质保费用双方另行协商。</w:t>
      </w:r>
      <w:r/>
    </w:p>
    <w:p>
      <w:pPr>
        <w:pStyle w:val="711"/>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七、供货期限、供货方式及交货地点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 供货期限：</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7.2 供货方式：</w:t>
      </w:r>
      <w:r/>
    </w:p>
    <w:p>
      <w:pPr>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7.3 交货地点：</w:t>
      </w:r>
      <w:r>
        <w:rPr>
          <w:rFonts w:hint="eastAsia" w:ascii="宋体" w:hAnsi="宋体" w:eastAsia="宋体" w:cs="宋体"/>
          <w:color w:val="auto"/>
          <w:sz w:val="24"/>
          <w:highlight w:val="none"/>
          <w:u w:val="single"/>
        </w:rPr>
        <w:t xml:space="preserve">甲方指定地点</w:t>
      </w:r>
      <w:r>
        <w:rPr>
          <w:rFonts w:hint="eastAsia" w:ascii="宋体" w:hAnsi="宋体" w:eastAsia="宋体" w:cs="宋体"/>
          <w:color w:val="auto"/>
          <w:sz w:val="24"/>
          <w:highlight w:val="none"/>
        </w:rPr>
        <w:t xml:space="preserve">。</w:t>
      </w:r>
      <w:r/>
    </w:p>
    <w:p>
      <w:pPr>
        <w:pStyle w:val="711"/>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八、合同价款支付</w:t>
      </w:r>
      <w:r/>
    </w:p>
    <w:p>
      <w:pPr>
        <w:ind w:left="0" w:right="0"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cyan"/>
          <w:lang w:val="en-US" w:eastAsia="zh-CN"/>
          <w14:textFill>
            <w14:solidFill>
              <w14:schemeClr w14:val="tx1"/>
            </w14:solidFill>
          </w14:textFill>
        </w:rPr>
      </w:pPr>
      <w:r>
        <w:rPr>
          <w:rFonts w:hint="eastAsia" w:ascii="宋体" w:hAnsi="宋体" w:eastAsia="宋体" w:cs="宋体"/>
          <w:color w:val="auto"/>
          <w:sz w:val="24"/>
          <w:highlight w:val="none"/>
        </w:rPr>
        <w:t xml:space="preserve">8.1 付款方式：</w:t>
      </w:r>
      <w:r>
        <w:rPr>
          <w:rFonts w:hint="eastAsia" w:ascii="宋体" w:hAnsi="宋体" w:eastAsia="宋体" w:cs="宋体"/>
          <w:bCs/>
          <w:color w:val="000000" w:themeColor="text1"/>
          <w:sz w:val="24"/>
          <w:szCs w:val="24"/>
          <w:highlight w:val="cyan"/>
          <w:lang w:val="en-US" w:eastAsia="zh-CN"/>
          <w14:textFill>
            <w14:solidFill>
              <w14:schemeClr w14:val="tx1"/>
            </w14:solidFill>
          </w14:textFill>
        </w:rPr>
        <w:t xml:space="preserve">合同签订生效后，货物到货并完成验收合格及调试工作后，项目实施单位应按照以下流程支付</w:t>
      </w:r>
      <w:r>
        <w:rPr>
          <w:rFonts w:hint="eastAsia" w:ascii="宋体" w:hAnsi="宋体" w:cs="宋体"/>
          <w:bCs/>
          <w:color w:val="000000" w:themeColor="text1"/>
          <w:sz w:val="24"/>
          <w:szCs w:val="24"/>
          <w:highlight w:val="cyan"/>
          <w:lang w:val="en-US" w:eastAsia="zh-CN"/>
          <w14:textFill>
            <w14:solidFill>
              <w14:schemeClr w14:val="tx1"/>
            </w14:solidFill>
          </w14:textFill>
        </w:rPr>
        <w:t xml:space="preserve">中标</w:t>
      </w:r>
      <w:r>
        <w:rPr>
          <w:rFonts w:hint="eastAsia" w:ascii="宋体" w:hAnsi="宋体" w:eastAsia="宋体" w:cs="宋体"/>
          <w:bCs/>
          <w:color w:val="000000" w:themeColor="text1"/>
          <w:sz w:val="24"/>
          <w:szCs w:val="24"/>
          <w:highlight w:val="cyan"/>
          <w:lang w:val="en-US" w:eastAsia="zh-CN"/>
          <w14:textFill>
            <w14:solidFill>
              <w14:schemeClr w14:val="tx1"/>
            </w14:solidFill>
          </w14:textFill>
        </w:rPr>
        <w:t xml:space="preserve">总额100%货款款项：</w:t>
      </w:r>
      <w:r>
        <w:rPr>
          <w:rFonts w:hint="eastAsia" w:ascii="宋体" w:hAnsi="宋体" w:cs="宋体"/>
          <w:bCs/>
          <w:color w:val="000000" w:themeColor="text1"/>
          <w:sz w:val="24"/>
          <w:szCs w:val="24"/>
          <w:highlight w:val="cyan"/>
          <w:lang w:val="en-US" w:eastAsia="zh-CN"/>
          <w14:textFill>
            <w14:solidFill>
              <w14:schemeClr w14:val="tx1"/>
            </w14:solidFill>
          </w14:textFill>
        </w:rPr>
        <w:t xml:space="preserve">企业</w:t>
      </w:r>
      <w:r>
        <w:rPr>
          <w:rFonts w:hint="eastAsia" w:ascii="宋体" w:hAnsi="宋体" w:eastAsia="宋体" w:cs="宋体"/>
          <w:bCs/>
          <w:color w:val="000000" w:themeColor="text1"/>
          <w:sz w:val="24"/>
          <w:szCs w:val="24"/>
          <w:highlight w:val="cyan"/>
          <w:lang w:val="en-US" w:eastAsia="zh-CN"/>
          <w14:textFill>
            <w14:solidFill>
              <w14:schemeClr w14:val="tx1"/>
            </w14:solidFill>
          </w14:textFill>
        </w:rPr>
        <w:t xml:space="preserve">自筹资金部分由项目实施单位</w:t>
      </w:r>
      <w:r>
        <w:rPr>
          <w:rFonts w:hint="eastAsia" w:ascii="宋体" w:hAnsi="宋体" w:cs="宋体"/>
          <w:bCs/>
          <w:color w:val="000000" w:themeColor="text1"/>
          <w:sz w:val="24"/>
          <w:szCs w:val="24"/>
          <w:highlight w:val="cyan"/>
          <w:lang w:val="en-US" w:eastAsia="zh-CN"/>
          <w14:textFill>
            <w14:solidFill>
              <w14:schemeClr w14:val="tx1"/>
            </w14:solidFill>
          </w14:textFill>
        </w:rPr>
        <w:t xml:space="preserve">（企业）</w:t>
      </w:r>
      <w:r>
        <w:rPr>
          <w:rFonts w:hint="eastAsia" w:ascii="宋体" w:hAnsi="宋体" w:eastAsia="宋体" w:cs="宋体"/>
          <w:bCs/>
          <w:color w:val="000000" w:themeColor="text1"/>
          <w:sz w:val="24"/>
          <w:szCs w:val="24"/>
          <w:highlight w:val="cyan"/>
          <w:lang w:val="en-US" w:eastAsia="zh-CN"/>
          <w14:textFill>
            <w14:solidFill>
              <w14:schemeClr w14:val="tx1"/>
            </w14:solidFill>
          </w14:textFill>
        </w:rPr>
        <w:t xml:space="preserve">在验收调试完成后先行支付给中标企业；财政专项资金待</w:t>
      </w:r>
      <w:r>
        <w:rPr>
          <w:rFonts w:hint="eastAsia" w:ascii="宋体" w:hAnsi="宋体" w:cs="宋体"/>
          <w:bCs/>
          <w:color w:val="000000" w:themeColor="text1"/>
          <w:sz w:val="24"/>
          <w:szCs w:val="24"/>
          <w:highlight w:val="cyan"/>
          <w:lang w:val="en-US" w:eastAsia="zh-CN"/>
          <w14:textFill>
            <w14:solidFill>
              <w14:schemeClr w14:val="tx1"/>
            </w14:solidFill>
          </w14:textFill>
        </w:rPr>
        <w:t xml:space="preserve">收到发票后10个工作日内支付</w:t>
      </w:r>
      <w:r>
        <w:rPr>
          <w:rFonts w:hint="eastAsia" w:ascii="宋体" w:hAnsi="宋体" w:eastAsia="宋体" w:cs="宋体"/>
          <w:bCs/>
          <w:color w:val="000000" w:themeColor="text1"/>
          <w:sz w:val="24"/>
          <w:szCs w:val="24"/>
          <w:highlight w:val="cyan"/>
          <w:lang w:val="en-US" w:eastAsia="zh-CN"/>
          <w14:textFill>
            <w14:solidFill>
              <w14:schemeClr w14:val="tx1"/>
            </w14:solidFill>
          </w14:textFill>
        </w:rPr>
        <w:t xml:space="preserve">。</w:t>
      </w:r>
      <w:r/>
    </w:p>
    <w:p>
      <w:pPr>
        <w:pStyle w:val="71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付款前乙方应向甲方开具正规发票，</w:t>
      </w:r>
      <w:r>
        <w:rPr>
          <w:rFonts w:hint="eastAsia" w:ascii="宋体" w:hAnsi="宋体" w:cs="宋体"/>
          <w:color w:val="auto"/>
          <w:sz w:val="24"/>
          <w:highlight w:val="none"/>
          <w:lang w:val="en-US" w:eastAsia="zh-CN"/>
        </w:rPr>
        <w:t xml:space="preserve">供货交接单，质量检验证书，</w:t>
      </w:r>
      <w:r>
        <w:rPr>
          <w:rFonts w:hint="eastAsia" w:ascii="宋体" w:hAnsi="宋体" w:eastAsia="宋体" w:cs="宋体"/>
          <w:color w:val="auto"/>
          <w:sz w:val="24"/>
          <w:szCs w:val="24"/>
          <w:highlight w:val="none"/>
        </w:rPr>
        <w:t xml:space="preserve">甲方自收到发票后10个工作日内将资金支付至合同约定的乙方账户（发票开具日期计算）。</w:t>
      </w:r>
      <w:r/>
    </w:p>
    <w:p>
      <w:pPr>
        <w:pStyle w:val="711"/>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九、质量保证及售后服务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9.1 乙方应按磋商文件规定的货物性能、技术要求、质量标准向甲方提供未经使用的全新产品。应按照国家有关法律法规规章和“三包”规定以及合同所附的“服务承诺”提供服务。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9.2 技术支持响应时间。成交供应商需提供本地化的技术支持服务，指定负责人，并配备专门通信</w:t>
      </w:r>
      <w:r>
        <w:rPr>
          <w:rFonts w:hint="eastAsia" w:ascii="宋体" w:hAnsi="宋体" w:cs="宋体"/>
          <w:color w:val="auto"/>
          <w:sz w:val="24"/>
          <w:highlight w:val="none"/>
          <w:lang w:val="en-US" w:eastAsia="zh-CN"/>
        </w:rPr>
        <w:t xml:space="preserve">渠</w:t>
      </w:r>
      <w:r>
        <w:rPr>
          <w:rFonts w:hint="eastAsia" w:ascii="宋体" w:hAnsi="宋体" w:eastAsia="宋体" w:cs="宋体"/>
          <w:color w:val="auto"/>
          <w:sz w:val="24"/>
          <w:highlight w:val="none"/>
        </w:rPr>
        <w:t xml:space="preserve">道，保证服务热线畅通。运行中出现故障时，由采购人通知成交供应商。疑难问题（不危及运行）在24小时内答复用户。重大问题（危及运行）在2小时内到现场处理或通过网络远程处理。特大问题（系统不能正常运行）在2小时内恢复系统运行，并在24小时内派技术人员到现场解决。</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9.3 在保修期内如产品出现质量异常，乙方在接到甲方通知后必须到场处理，若不能如期到场每延迟1日按合同总金额的1%支付违约金。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9.4 在免费质保期过后，如甲方需乙方技术支</w:t>
      </w:r>
      <w:r>
        <w:rPr>
          <w:rFonts w:hint="eastAsia" w:ascii="宋体" w:hAnsi="宋体" w:eastAsia="宋体" w:cs="宋体"/>
          <w:color w:val="auto"/>
          <w:sz w:val="24"/>
          <w:highlight w:val="none"/>
        </w:rPr>
        <w:t xml:space="preserve">持，乙方在接到甲方通知后2天内必须到场处理，所有费用包括但不限于食宿、差旅费等由乙方承担。乙方派员到甲方地点进行交货、调试、维修或售后服务，应派遣乙方有雇佣或聘请的、有相应知识技能的乙方员工进行操作，乙方员工应向甲方出示乙方开具的授权委托书、介绍信原件、身份证复印件以供甲方备案；并为所派遣的人员购买相应的社会保险或商业保险，乙方人员在甲方范围内发生的一切事故与甲方无关，乙方对此承担全部责任。如乙方未按前述要求派员或未购买相应的保险，造成的一切后果由乙方负责，如甲方因此遭受损失，乙方应全额向甲方承担赔偿责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9.5 合同标的货品在使用中因质量问题导致的火灾等意外损失及由此引起甲方或第三方的人身伤害和财产损失，由乙方承担因此而产生的一切费用及经济与法律责任。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9.6 乙方接到甲方的报修通知后如需派员入场的，乙方需遵守甲方有关外来人员管理的相关制度以及提供加盖乙方公章的授权委托书原件以供甲方备案。否则，甲方有权拒绝在乙方维修单上签字或拒绝承认乙方维修结果。</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9.7 甲乙双方因合同标的的质量问题而发生争议，由甲方所在地质检部门进行质量鉴定。符合质量标准的，鉴定费用由甲方承担，不符合质量标准的，鉴定费用由乙方承担，且甲方不接受质量鉴定不合格的产品。</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9.8 技术服务：乙方应派员到甲方指定地点配合工作，并按甲方提供的合同执行进度要求提供技术服务。</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十、验收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 货物的检验、验收等按照以下原则执行：有国家标准的执行国家标准；无国家标准的执行行业标准；无行业标准的执行地方标准；无地方标准的执行企业标准。生产制造所需要的所有主材和辅助材料的质量、安全符合国家规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 甲方以竞争性磋商文件、成交供应商的响应文件、承诺、合同为依据，成立验收小组，负责对项目进行全面的验收。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10.3 货物的验收包括：型号、规格、数量、外观质量是否完好，安装调试是否合格，所提供货物的装箱清单、用户手册、原厂保修卡、随机资料及配件、随机工具等是否齐全。乙方对质量问题负责包退、包换和包修，因此发生的费用由乙方自行负责。</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10.4 货物到达甲方指定地点，应提前通知甲方，由甲方根据有关清单进行验收。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10.5 乙方应派有资格、有经验的人员负责安装、调试，须在合同规定的时间内完成安装、调试；在调试工作完成后，根据相关部门规定的验收方案，严格按照有关要求及标准，对整个项目进行验收；交付使用时要同时向甲方提供详细的技术文件、调试报告、安装记录。</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十一、货物包装、发运及运输</w:t>
      </w:r>
      <w:r/>
    </w:p>
    <w:p>
      <w:pPr>
        <w:pStyle w:val="71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乙方应在货物发运前对其进行满足运输距离、防潮、防震、防锈和防破损装卸等要求包装，以保证货物安全运达甲方指定地点。</w:t>
      </w:r>
      <w:r/>
    </w:p>
    <w:p>
      <w:pPr>
        <w:pStyle w:val="71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使用说明书、质量检验证明书、随配附件和工具以及清单一并附于货物内。</w:t>
      </w:r>
      <w:r/>
    </w:p>
    <w:p>
      <w:pPr>
        <w:pStyle w:val="71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乙方在货物发运手续办理完毕后24小时内或货到甲方48小时前通知甲方，以准备接货。</w:t>
      </w:r>
      <w:r/>
    </w:p>
    <w:p>
      <w:pPr>
        <w:pStyle w:val="71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 货物在安装调试合格交付甲方前发生的风险均由乙方负责。</w:t>
      </w:r>
      <w:r/>
    </w:p>
    <w:p>
      <w:pPr>
        <w:pStyle w:val="71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11.5 货物在规定的交付期限内由乙方送达甲方指定的地点视为交付，乙方同时需通知甲方货物已送达。</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十二、违约责任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12.1 甲方无正当理由拒收货物的，甲方向乙方偿付拒收合同款总值的百分之五违约金。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12.2 甲方无故逾期验收和办理合同款支付手续的，甲方应按逾期付款总额每日千分之五向乙方支付违约金。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12.3 乙方逾期交付货物的，乙方应按逾期交货总额每日千分之五向甲方支付违约金，由甲方从待付合同款中扣除。逾期超过约定日期5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12.4 乙方所交的货物品牌、数量、型号、规格、技术参数、质量不符合合同规定及磋商文件规定标准的，甲方有权拒收该货物，乙方愿意更换货物但逾期交货的，按乙方逾期交货处理。乙方拒绝更换货物的，甲方可单方面解除合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12.5 在质保期内，乙方所供货物出现质量问题不能使用或严重影响使用效果的，由甲方对乙方提出索赔。</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十三、不可抗力事件处理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13.1 在合同有效期内，任何一方因不可抗力事件导致不能履行合同，则合同履行期可延长，其延长期与不可抗力影响期相同。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13.2 不可抗力事件发生后，应立即通知对方，并寄送有关权威机构出具的证明。</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13.3 不可抗力事件延续120天以上，双方应通过友好协商，确定是否继续履行合同。</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十四、争议解决</w:t>
      </w:r>
      <w:r/>
    </w:p>
    <w:p>
      <w:pPr>
        <w:pStyle w:val="71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双方在执行合同中所发生的一切争议，应通过协商解决。如协商不成，按下列第</w:t>
      </w:r>
      <w:r>
        <w:rPr>
          <w:rFonts w:hint="eastAsia" w:ascii="宋体" w:hAnsi="宋体" w:eastAsia="宋体" w:cs="宋体"/>
          <w:color w:val="auto"/>
          <w:sz w:val="24"/>
          <w:szCs w:val="24"/>
          <w:highlight w:val="none"/>
          <w:u w:val="single"/>
        </w:rPr>
        <w:t xml:space="preserve"> （2）</w:t>
      </w:r>
      <w:r>
        <w:rPr>
          <w:rFonts w:hint="eastAsia" w:ascii="宋体" w:hAnsi="宋体" w:eastAsia="宋体" w:cs="宋体"/>
          <w:color w:val="auto"/>
          <w:sz w:val="24"/>
          <w:szCs w:val="24"/>
          <w:highlight w:val="none"/>
        </w:rPr>
        <w:t xml:space="preserve">种方式解决：</w:t>
      </w:r>
      <w:r/>
    </w:p>
    <w:p>
      <w:pPr>
        <w:pStyle w:val="71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（1）向连云港仲裁委员会申请仲裁；</w:t>
      </w:r>
      <w:r/>
    </w:p>
    <w:p>
      <w:pPr>
        <w:pStyle w:val="71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（2）向合同签订地的法院起诉，合同签订地在此约定为</w:t>
      </w:r>
      <w:r>
        <w:rPr>
          <w:rFonts w:hint="eastAsia" w:ascii="宋体" w:hAnsi="宋体" w:eastAsia="宋体" w:cs="宋体"/>
          <w:color w:val="auto"/>
          <w:sz w:val="24"/>
          <w:szCs w:val="24"/>
          <w:highlight w:val="none"/>
          <w:u w:val="single"/>
        </w:rPr>
        <w:t xml:space="preserve">连云港市赣榆区</w:t>
      </w:r>
      <w:r>
        <w:rPr>
          <w:rFonts w:hint="eastAsia" w:ascii="宋体" w:hAnsi="宋体" w:eastAsia="宋体" w:cs="宋体"/>
          <w:color w:val="auto"/>
          <w:sz w:val="24"/>
          <w:szCs w:val="24"/>
          <w:highlight w:val="none"/>
        </w:rPr>
        <w:t xml:space="preserve">。</w:t>
      </w:r>
      <w:r/>
    </w:p>
    <w:p>
      <w:pPr>
        <w:pStyle w:val="71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因一方违约引发诉讼的，违约方承担守约方因诉讼而产生的费用，包括但不限于诉讼费、保全费、律师代理费等一切实现债权费用。</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十五、合同生效及其它</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15.1 合同经双方法定代表人或授权委托代理人签字（或盖章）并加盖单位公章后生效。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15.2 合同执行中涉及采购资金和采购内容修改或补充的，须经财政部门审批、备案，方可作为主合同不可分割的一部分。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15.3 下述合同附件为本合同不可分割的部分并与本合同具有同等效力：</w:t>
      </w:r>
      <w:r/>
    </w:p>
    <w:p>
      <w:pPr>
        <w:pStyle w:val="71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（1）成交通知书；</w:t>
      </w:r>
      <w:r/>
    </w:p>
    <w:p>
      <w:pPr>
        <w:pStyle w:val="71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（2）乙方成交的磋商文件；</w:t>
      </w:r>
      <w:r/>
    </w:p>
    <w:p>
      <w:pPr>
        <w:pStyle w:val="71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（3）竞争性磋商文件；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（4）乙方在磋商过程中所作的其它承诺、声明、书面澄清等。</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15.4 本合同未尽事宜，遵照《中华人民共和国民法典》有关条文执行。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15.5 本合同正本一式陆份，具有同等法律效力，甲方、乙方各执贰份，财政监管部门、见证方各执壹份。</w:t>
      </w:r>
      <w:r/>
    </w:p>
    <w:p>
      <w:pPr>
        <w:pStyle w:val="707"/>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1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甲方（公章）：                          乙方（公章）：                     </w:t>
      </w:r>
      <w:r/>
    </w:p>
    <w:p>
      <w:pPr>
        <w:pStyle w:val="71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地址：                     </w:t>
      </w:r>
      <w:r/>
    </w:p>
    <w:p>
      <w:pPr>
        <w:pStyle w:val="71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                            法定代表人或               </w:t>
      </w:r>
      <w:r/>
    </w:p>
    <w:p>
      <w:pPr>
        <w:pStyle w:val="71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委托代理人（签字或盖章）：              委托代理人（签字或盖章）：              </w:t>
      </w:r>
      <w:r/>
    </w:p>
    <w:p>
      <w:pPr>
        <w:pStyle w:val="71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                                  电话：                     </w:t>
      </w:r>
      <w:r/>
    </w:p>
    <w:p>
      <w:pPr>
        <w:pStyle w:val="71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传真：                                  传真：                     </w:t>
      </w:r>
      <w:r/>
    </w:p>
    <w:p>
      <w:pPr>
        <w:pStyle w:val="71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签订地点：连云港市赣榆区                签订日期：      年  月  日</w:t>
      </w:r>
      <w:r/>
    </w:p>
    <w:p>
      <w:pPr>
        <w:pStyle w:val="71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见证方：                                见证时间：      年  月  日</w:t>
      </w:r>
      <w:bookmarkStart w:id="179" w:name="_Toc27955"/>
      <w:r/>
      <w:bookmarkStart w:id="180" w:name="_Toc3379"/>
      <w:r/>
      <w:r/>
    </w:p>
    <w:p>
      <w:pPr>
        <w:pStyle w:val="687"/>
        <w:keepNext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7"/>
        <w:jc w:val="both"/>
        <w:keepNext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bookmarkEnd w:id="177"/>
      <w:bookmarkEnd w:id="178"/>
      <w:bookmarkEnd w:id="179"/>
      <w:bookmarkEnd w:id="180"/>
      <w:r/>
    </w:p>
    <w:p>
      <w:pPr>
        <w:rPr>
          <w:rFonts w:hint="eastAsia"/>
        </w:rPr>
      </w:pPr>
      <w:r>
        <w:rPr>
          <w:rFonts w:hint="eastAsia"/>
        </w:rPr>
      </w:r>
      <w:r/>
    </w:p>
    <w:p>
      <w:pPr>
        <w:pStyle w:val="687"/>
        <w:numPr>
          <w:ilvl w:val="0"/>
          <w:numId w:val="5"/>
        </w:numPr>
        <w:keepNext w:val="0"/>
        <w:spacing w:line="360" w:lineRule="auto"/>
        <w:rPr>
          <w:rFonts w:hint="eastAsia" w:ascii="宋体" w:hAnsi="宋体" w:eastAsia="宋体" w:cs="宋体"/>
          <w:color w:val="auto"/>
          <w:highlight w:val="none"/>
        </w:rPr>
      </w:pPr>
      <w:r/>
      <w:bookmarkStart w:id="181" w:name="_Toc24319"/>
      <w:r/>
      <w:bookmarkStart w:id="182" w:name="_Toc61149622"/>
      <w:r/>
      <w:bookmarkStart w:id="183" w:name="_Toc23828480"/>
      <w:r/>
      <w:bookmarkStart w:id="184" w:name="_Toc26554097"/>
      <w:r>
        <w:rPr>
          <w:rFonts w:hint="eastAsia" w:ascii="宋体" w:hAnsi="宋体" w:eastAsia="宋体" w:cs="宋体"/>
          <w:color w:val="auto"/>
          <w:highlight w:val="none"/>
        </w:rPr>
        <w:t xml:space="preserve">采购需求</w:t>
      </w:r>
      <w:bookmarkEnd w:id="181"/>
      <w:r/>
      <w:r/>
    </w:p>
    <w:p>
      <w:pPr>
        <w:ind w:left="0" w:right="0" w:firstLine="482"/>
        <w:keepLines w:val="0"/>
        <w:keepNext w:val="0"/>
        <w:pageBreakBefore w:val="0"/>
        <w:spacing w:line="360" w:lineRule="auto"/>
        <w:rPr>
          <w:rFonts w:hint="eastAsia" w:ascii="宋体" w:hAnsi="宋体" w:eastAsia="宋体" w:cs="宋体"/>
          <w:b/>
          <w:sz w:val="24"/>
          <w:szCs w:val="24"/>
          <w:highlight w:val="none"/>
        </w:rPr>
      </w:pPr>
      <w:r/>
      <w:bookmarkStart w:id="185" w:name="_Toc4295"/>
      <w:r/>
      <w:bookmarkStart w:id="186" w:name="_Toc22066"/>
      <w:r/>
      <w:bookmarkStart w:id="187" w:name="_Toc465856615"/>
      <w:r/>
      <w:bookmarkStart w:id="188" w:name="_Toc255"/>
      <w:r/>
      <w:bookmarkStart w:id="189" w:name="_Toc25773"/>
      <w:r>
        <w:rPr>
          <w:rFonts w:hint="eastAsia" w:ascii="宋体" w:hAnsi="宋体" w:eastAsia="宋体" w:cs="宋体"/>
          <w:b/>
          <w:bCs/>
          <w:color w:val="000000"/>
          <w:sz w:val="24"/>
          <w:szCs w:val="24"/>
          <w:highlight w:val="none"/>
        </w:rPr>
        <w:t xml:space="preserve">说明：本项目属性为货物，</w:t>
      </w:r>
      <w:r>
        <w:rPr>
          <w:rFonts w:hint="eastAsia" w:ascii="宋体" w:hAnsi="宋体" w:eastAsia="宋体" w:cs="宋体"/>
          <w:b/>
          <w:sz w:val="24"/>
          <w:szCs w:val="24"/>
          <w:highlight w:val="none"/>
        </w:rPr>
        <w:t xml:space="preserve">采购标的对应的中小企业划分标准所属行业为</w:t>
      </w:r>
      <w:r>
        <w:rPr>
          <w:rFonts w:hint="eastAsia" w:ascii="宋体" w:hAnsi="宋体" w:eastAsia="宋体" w:cs="宋体"/>
          <w:b/>
          <w:sz w:val="24"/>
          <w:szCs w:val="24"/>
          <w:highlight w:val="none"/>
          <w:u w:val="single"/>
        </w:rPr>
        <w:t xml:space="preserve">　</w:t>
      </w:r>
      <w:r>
        <w:rPr>
          <w:rFonts w:hint="eastAsia" w:ascii="宋体" w:hAnsi="宋体" w:cs="宋体"/>
          <w:b/>
          <w:sz w:val="24"/>
          <w:szCs w:val="24"/>
          <w:highlight w:val="none"/>
          <w:u w:val="single"/>
          <w:lang w:val="en-US" w:eastAsia="zh-CN"/>
        </w:rPr>
        <w:t xml:space="preserve">工业</w:t>
      </w:r>
      <w:r>
        <w:rPr>
          <w:rFonts w:hint="eastAsia" w:ascii="宋体" w:hAnsi="宋体" w:eastAsia="宋体" w:cs="宋体"/>
          <w:b/>
          <w:sz w:val="24"/>
          <w:szCs w:val="24"/>
          <w:highlight w:val="none"/>
          <w:u w:val="single"/>
        </w:rPr>
        <w:t xml:space="preserve">　</w:t>
      </w:r>
      <w:r>
        <w:rPr>
          <w:rFonts w:hint="eastAsia" w:ascii="宋体" w:hAnsi="宋体" w:eastAsia="宋体" w:cs="宋体"/>
          <w:b/>
          <w:sz w:val="24"/>
          <w:szCs w:val="24"/>
          <w:highlight w:val="none"/>
        </w:rPr>
        <w:t xml:space="preserve">。</w:t>
      </w:r>
      <w:r/>
    </w:p>
    <w:p>
      <w:pPr>
        <w:ind w:firstLine="480"/>
        <w:jc w:val="left"/>
        <w:spacing w:line="360" w:lineRule="auto"/>
        <w:rPr>
          <w:rFonts w:hint="eastAsia" w:ascii="宋体" w:hAnsi="宋体" w:eastAsia="宋体" w:cs="宋体"/>
          <w:b/>
          <w:sz w:val="24"/>
          <w:szCs w:val="24"/>
          <w:highlight w:val="none"/>
        </w:rPr>
      </w:pPr>
      <w:r>
        <w:rPr>
          <w:rFonts w:hint="eastAsia" w:cs="Times New Roman"/>
          <w:color w:val="auto"/>
          <w:sz w:val="24"/>
          <w:szCs w:val="24"/>
          <w:highlight w:val="none"/>
          <w:lang w:val="en-US" w:eastAsia="zh-CN"/>
        </w:rPr>
        <w:t xml:space="preserve">1、</w:t>
      </w:r>
      <w:r>
        <w:rPr>
          <w:rFonts w:hint="eastAsia" w:eastAsia="宋体" w:cs="Times New Roman"/>
          <w:color w:val="auto"/>
          <w:sz w:val="24"/>
          <w:szCs w:val="24"/>
          <w:highlight w:val="none"/>
        </w:rPr>
        <w:t xml:space="preserve">根据《关于印发中小企业划型标准规定的通知》（工信部联企业〔2011〕300号）规定</w:t>
      </w:r>
      <w:r>
        <w:rPr>
          <w:rFonts w:hint="eastAsia" w:eastAsia="宋体" w:cs="Times New Roman"/>
          <w:color w:val="auto"/>
          <w:sz w:val="24"/>
          <w:szCs w:val="24"/>
          <w:highlight w:val="none"/>
          <w:lang w:eastAsia="zh-CN"/>
        </w:rPr>
        <w:t xml:space="preserve">，工业</w:t>
      </w:r>
      <w:r>
        <w:rPr>
          <w:rFonts w:hint="eastAsia" w:eastAsia="宋体" w:cs="Times New Roman"/>
          <w:color w:val="auto"/>
          <w:sz w:val="24"/>
          <w:szCs w:val="24"/>
          <w:highlight w:val="none"/>
        </w:rPr>
        <w:t xml:space="preserve">行业划型标准：从业人员1000人以下或营业收入40000万元以下的为中小微型企业。其中，从业人员300人及以上，且营业收入2000万元及</w:t>
      </w:r>
      <w:r>
        <w:rPr>
          <w:rFonts w:hint="eastAsia" w:cs="Times New Roman"/>
          <w:color w:val="auto"/>
          <w:sz w:val="24"/>
          <w:szCs w:val="24"/>
          <w:highlight w:val="none"/>
          <w:lang w:val="en-US" w:eastAsia="zh-CN"/>
        </w:rPr>
        <w:t xml:space="preserve">以上的为中型企业；从业人员20人及以上，且营业收入300万元及以上的为小型企业；从业人员20人以下或营业收入300万元以下的为微型企业。</w:t>
      </w:r>
      <w:r/>
    </w:p>
    <w:p>
      <w:pPr>
        <w:ind w:left="0" w:right="0" w:firstLine="482"/>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rPr>
        <w:t xml:space="preserve">、</w:t>
      </w:r>
      <w:r>
        <w:rPr>
          <w:rFonts w:hint="eastAsia" w:ascii="宋体" w:hAnsi="宋体" w:eastAsia="宋体" w:cs="宋体"/>
          <w:b/>
          <w:bCs/>
          <w:color w:val="000000"/>
          <w:sz w:val="24"/>
          <w:szCs w:val="24"/>
          <w:highlight w:val="none"/>
        </w:rPr>
        <w:t xml:space="preserve">本项目需求中标注</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号的部分为实质性要求和条件（由采购人根据实际情况设置），投标人必须作出满足或者优于原要求和条件的响应，否则投标无效。</w:t>
      </w:r>
      <w:r/>
    </w:p>
    <w:p>
      <w:pPr>
        <w:ind w:left="0" w:righ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、根</w:t>
      </w:r>
      <w:r>
        <w:rPr>
          <w:rFonts w:hint="eastAsia" w:ascii="宋体" w:hAnsi="宋体" w:eastAsia="宋体" w:cs="宋体"/>
          <w:color w:val="000000"/>
          <w:sz w:val="24"/>
          <w:szCs w:val="24"/>
          <w:highlight w:val="none"/>
        </w:rPr>
        <w:t xml:space="preserve">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r/>
    </w:p>
    <w:p>
      <w:pPr>
        <w:numPr>
          <w:ilvl w:val="0"/>
          <w:numId w:val="6"/>
        </w:numPr>
        <w:ind w:left="0" w:right="0"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项目概述：</w:t>
      </w:r>
      <w:r/>
    </w:p>
    <w:p>
      <w:pPr>
        <w:pStyle w:val="705"/>
        <w:numPr>
          <w:ilvl w:val="0"/>
          <w:numId w:val="0"/>
        </w:numPr>
        <w:ind w:firstLine="480"/>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支持秸秆离田收储能力提升示范建设。主要实施内容为：购置秸秆离田收储运等设备，示范推广农作物秸秆综合利用。</w:t>
      </w:r>
      <w:r/>
    </w:p>
    <w:p>
      <w:pPr>
        <w:numPr>
          <w:ilvl w:val="0"/>
          <w:numId w:val="7"/>
        </w:numPr>
        <w:ind w:left="0" w:right="0"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货物（标的）采购清单</w:t>
      </w:r>
      <w:r/>
    </w:p>
    <w:tbl>
      <w:tblPr>
        <w:tblStyle w:val="697"/>
        <w:tblW w:w="99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54"/>
        <w:gridCol w:w="6003"/>
        <w:gridCol w:w="766"/>
        <w:gridCol w:w="2136"/>
      </w:tblGrid>
      <w:tr>
        <w:trPr>
          <w:jc w:val="center"/>
          <w:trHeight w:val="0"/>
        </w:trPr>
        <w:tc>
          <w:tcPr>
            <w:tcW w:w="1054" w:type="dxa"/>
            <w:textDirection w:val="lrTb"/>
            <w:noWrap w:val="false"/>
          </w:tcPr>
          <w:p>
            <w:pPr>
              <w:jc w:val="center"/>
              <w:spacing w:line="380" w:lineRule="exact"/>
              <w:rPr>
                <w:rFonts w:hint="default" w:ascii="宋体" w:hAnsi="宋体" w:cs="宋体"/>
                <w:b/>
                <w:sz w:val="24"/>
                <w:szCs w:val="24"/>
                <w:lang w:val="en-US" w:eastAsia="zh-CN"/>
              </w:rPr>
            </w:pPr>
            <w:r>
              <w:rPr>
                <w:rFonts w:hint="eastAsia" w:ascii="宋体" w:hAnsi="宋体" w:cs="宋体"/>
                <w:b/>
                <w:sz w:val="24"/>
                <w:szCs w:val="24"/>
                <w:lang w:val="en-US" w:eastAsia="zh-CN"/>
              </w:rPr>
              <w:t xml:space="preserve">序号</w:t>
            </w:r>
            <w:r/>
          </w:p>
        </w:tc>
        <w:tc>
          <w:tcPr>
            <w:tcW w:w="6003" w:type="dxa"/>
            <w:textDirection w:val="lrTb"/>
            <w:noWrap w:val="false"/>
          </w:tcPr>
          <w:p>
            <w:pPr>
              <w:jc w:val="center"/>
              <w:spacing w:line="380" w:lineRule="exact"/>
              <w:rPr>
                <w:rFonts w:hint="eastAsia" w:ascii="宋体" w:eastAsia="宋体"/>
                <w:b/>
                <w:sz w:val="24"/>
                <w:szCs w:val="24"/>
                <w:lang w:eastAsia="zh-CN"/>
              </w:rPr>
            </w:pPr>
            <w:r>
              <w:rPr>
                <w:rFonts w:hint="eastAsia" w:ascii="宋体" w:hAnsi="宋体" w:cs="宋体"/>
                <w:b/>
                <w:sz w:val="24"/>
                <w:szCs w:val="24"/>
                <w:lang w:val="en-US" w:eastAsia="zh-CN"/>
              </w:rPr>
              <w:t xml:space="preserve">名称</w:t>
            </w:r>
            <w:r/>
          </w:p>
        </w:tc>
        <w:tc>
          <w:tcPr>
            <w:tcW w:w="766" w:type="dxa"/>
            <w:vAlign w:val="center"/>
            <w:textDirection w:val="lrTb"/>
            <w:noWrap w:val="false"/>
          </w:tcPr>
          <w:p>
            <w:pPr>
              <w:pStyle w:val="934"/>
              <w:ind w:firstLine="0"/>
              <w:jc w:val="left"/>
              <w:rPr>
                <w:rFonts w:hint="default" w:hAnsi="宋体" w:eastAsia="宋体" w:cs="Times New Roman"/>
                <w:b/>
                <w:sz w:val="24"/>
                <w:szCs w:val="24"/>
                <w:lang w:val="en-US" w:eastAsia="zh-CN"/>
              </w:rPr>
            </w:pPr>
            <w:r>
              <w:rPr>
                <w:rFonts w:hint="eastAsia" w:hAnsi="宋体" w:cs="Times New Roman"/>
                <w:b/>
                <w:sz w:val="24"/>
                <w:szCs w:val="24"/>
                <w:lang w:val="en-US" w:eastAsia="zh-CN"/>
              </w:rPr>
              <w:t xml:space="preserve">单位</w:t>
            </w:r>
            <w:r/>
          </w:p>
        </w:tc>
        <w:tc>
          <w:tcPr>
            <w:tcW w:w="2136" w:type="dxa"/>
            <w:vAlign w:val="center"/>
            <w:textDirection w:val="lrTb"/>
            <w:noWrap w:val="false"/>
          </w:tcPr>
          <w:p>
            <w:pPr>
              <w:pStyle w:val="934"/>
              <w:ind w:firstLine="0"/>
              <w:jc w:val="left"/>
              <w:rPr>
                <w:rFonts w:hint="eastAsia" w:hAnsi="宋体" w:eastAsia="宋体" w:cs="Times New Roman"/>
                <w:b/>
                <w:sz w:val="24"/>
                <w:szCs w:val="24"/>
                <w:lang w:eastAsia="zh-CN"/>
              </w:rPr>
            </w:pPr>
            <w:r>
              <w:rPr>
                <w:rFonts w:hint="eastAsia" w:hAnsi="宋体"/>
                <w:b/>
                <w:sz w:val="24"/>
                <w:szCs w:val="24"/>
                <w:lang w:val="en-US" w:eastAsia="zh-CN"/>
              </w:rPr>
              <w:t xml:space="preserve">数量</w:t>
            </w:r>
            <w:r/>
          </w:p>
        </w:tc>
      </w:tr>
      <w:tr>
        <w:trPr>
          <w:jc w:val="center"/>
          <w:trHeight w:val="0"/>
        </w:trPr>
        <w:tc>
          <w:tcPr>
            <w:tcW w:w="1054" w:type="dxa"/>
            <w:textDirection w:val="lrTb"/>
            <w:noWrap w:val="false"/>
          </w:tcPr>
          <w:p>
            <w:pPr>
              <w:jc w:val="left"/>
              <w:spacing w:line="380" w:lineRule="exact"/>
              <w:rPr>
                <w:rFonts w:hint="eastAsia" w:hAnsi="宋体" w:eastAsia="宋体" w:cs="宋体"/>
                <w:b/>
                <w:color w:val="000000"/>
                <w:sz w:val="24"/>
                <w:szCs w:val="24"/>
                <w:lang w:val="en-US" w:eastAsia="zh-CN"/>
              </w:rPr>
            </w:pPr>
            <w:r>
              <w:rPr>
                <w:rFonts w:hint="eastAsia" w:hAnsi="宋体" w:cs="宋体"/>
                <w:b/>
                <w:color w:val="000000"/>
                <w:sz w:val="24"/>
                <w:szCs w:val="24"/>
                <w:lang w:val="en-US" w:eastAsia="zh-CN"/>
              </w:rPr>
              <w:t xml:space="preserve">1</w:t>
            </w:r>
            <w:r/>
          </w:p>
        </w:tc>
        <w:tc>
          <w:tcPr>
            <w:tcW w:w="6003" w:type="dxa"/>
            <w:textDirection w:val="lrTb"/>
            <w:noWrap w:val="false"/>
          </w:tcPr>
          <w:p>
            <w:pPr>
              <w:jc w:val="left"/>
              <w:spacing w:line="380" w:lineRule="exact"/>
              <w:rPr>
                <w:rFonts w:ascii="宋体"/>
                <w:b/>
                <w:sz w:val="24"/>
                <w:szCs w:val="24"/>
              </w:rPr>
            </w:pPr>
            <w:r>
              <w:rPr>
                <w:rFonts w:hint="eastAsia" w:ascii="宋体" w:hAnsi="宋体" w:cs="宋体"/>
                <w:b/>
                <w:bCs/>
                <w:sz w:val="24"/>
                <w:szCs w:val="24"/>
                <w:highlight w:val="none"/>
                <w:lang w:val="en-US" w:eastAsia="zh-CN"/>
              </w:rPr>
              <w:t xml:space="preserve">秸秆粉碎机  </w:t>
            </w:r>
            <w:r/>
          </w:p>
        </w:tc>
        <w:tc>
          <w:tcPr>
            <w:tcW w:w="766" w:type="dxa"/>
            <w:textDirection w:val="lrTb"/>
            <w:noWrap w:val="false"/>
          </w:tcPr>
          <w:p>
            <w:pPr>
              <w:jc w:val="left"/>
              <w:spacing w:line="380" w:lineRule="exact"/>
              <w:rPr>
                <w:rFonts w:hint="eastAsia" w:ascii="宋体" w:eastAsia="宋体"/>
                <w:sz w:val="24"/>
                <w:szCs w:val="24"/>
                <w:lang w:eastAsia="zh-CN"/>
              </w:rPr>
            </w:pPr>
            <w:r>
              <w:rPr>
                <w:rFonts w:hint="eastAsia" w:ascii="宋体" w:hAnsi="宋体" w:cs="宋体"/>
                <w:sz w:val="24"/>
                <w:szCs w:val="24"/>
                <w:lang w:val="en-US" w:eastAsia="zh-CN"/>
              </w:rPr>
              <w:t xml:space="preserve">台</w:t>
            </w:r>
            <w:r/>
          </w:p>
        </w:tc>
        <w:tc>
          <w:tcPr>
            <w:tcW w:w="2136" w:type="dxa"/>
            <w:textDirection w:val="lrTb"/>
            <w:noWrap w:val="false"/>
          </w:tcPr>
          <w:p>
            <w:pPr>
              <w:pStyle w:val="718"/>
              <w:jc w:val="left"/>
              <w:spacing w:line="380" w:lineRule="exact"/>
              <w:tabs>
                <w:tab w:val="clear" w:pos="4153" w:leader="none"/>
                <w:tab w:val="clear" w:pos="8306" w:leader="none"/>
              </w:tabs>
              <w:rPr>
                <w:rFonts w:hint="eastAsia" w:ascii="宋体" w:eastAsia="宋体"/>
                <w:sz w:val="24"/>
                <w:szCs w:val="24"/>
                <w:lang w:eastAsia="zh-CN"/>
              </w:rPr>
              <w:pBdr>
                <w:bottom w:val="none" w:color="auto" w:sz="0" w:space="0"/>
              </w:pBdr>
            </w:pPr>
            <w:r>
              <w:rPr>
                <w:rFonts w:hint="eastAsia" w:ascii="宋体" w:hAnsi="宋体"/>
                <w:sz w:val="24"/>
                <w:szCs w:val="24"/>
                <w:lang w:val="en-US" w:eastAsia="zh-CN"/>
              </w:rPr>
              <w:t xml:space="preserve">1</w:t>
            </w:r>
            <w:r/>
          </w:p>
        </w:tc>
      </w:tr>
      <w:tr>
        <w:trPr>
          <w:jc w:val="center"/>
          <w:trHeight w:val="0"/>
        </w:trPr>
        <w:tc>
          <w:tcPr>
            <w:tcW w:w="1054" w:type="dxa"/>
            <w:textDirection w:val="lrTb"/>
            <w:noWrap w:val="false"/>
          </w:tcPr>
          <w:p>
            <w:pPr>
              <w:pStyle w:val="934"/>
              <w:ind w:firstLine="0"/>
              <w:jc w:val="left"/>
              <w:rPr>
                <w:rFonts w:hint="eastAsia" w:hAnsi="宋体" w:eastAsia="宋体"/>
                <w:b/>
                <w:sz w:val="24"/>
                <w:szCs w:val="24"/>
                <w:lang w:val="en-US" w:eastAsia="zh-CN"/>
              </w:rPr>
            </w:pPr>
            <w:r>
              <w:rPr>
                <w:rFonts w:hint="eastAsia" w:hAnsi="宋体"/>
                <w:b/>
                <w:sz w:val="24"/>
                <w:szCs w:val="24"/>
                <w:lang w:val="en-US" w:eastAsia="zh-CN"/>
              </w:rPr>
              <w:t xml:space="preserve">2</w:t>
            </w:r>
            <w:r/>
          </w:p>
        </w:tc>
        <w:tc>
          <w:tcPr>
            <w:tcW w:w="6003" w:type="dxa"/>
            <w:textDirection w:val="lrTb"/>
            <w:noWrap w:val="false"/>
          </w:tcPr>
          <w:p>
            <w:pPr>
              <w:pStyle w:val="934"/>
              <w:ind w:firstLine="0"/>
              <w:jc w:val="left"/>
              <w:rPr>
                <w:rFonts w:hAnsi="宋体" w:cs="Times New Roman"/>
                <w:b/>
                <w:sz w:val="24"/>
                <w:szCs w:val="24"/>
              </w:rPr>
            </w:pPr>
            <w:r>
              <w:rPr>
                <w:rFonts w:hint="eastAsia" w:ascii="宋体" w:hAnsi="宋体" w:cs="宋体"/>
                <w:b/>
                <w:bCs/>
                <w:sz w:val="24"/>
                <w:szCs w:val="24"/>
                <w:highlight w:val="none"/>
                <w:lang w:val="en-US" w:eastAsia="zh-CN"/>
              </w:rPr>
              <w:t xml:space="preserve">秸秆全封闭弹筛</w:t>
            </w:r>
            <w:r/>
          </w:p>
        </w:tc>
        <w:tc>
          <w:tcPr>
            <w:tcW w:w="766" w:type="dxa"/>
            <w:textDirection w:val="lrTb"/>
            <w:noWrap w:val="false"/>
          </w:tcPr>
          <w:p>
            <w:pPr>
              <w:pStyle w:val="934"/>
              <w:ind w:firstLine="0"/>
              <w:jc w:val="left"/>
              <w:rPr>
                <w:rFonts w:hint="eastAsia" w:hAnsi="宋体" w:eastAsia="宋体"/>
                <w:sz w:val="24"/>
                <w:szCs w:val="24"/>
                <w:lang w:eastAsia="zh-CN"/>
              </w:rPr>
            </w:pPr>
            <w:r>
              <w:rPr>
                <w:rFonts w:hint="eastAsia" w:hAnsi="宋体"/>
                <w:sz w:val="24"/>
                <w:szCs w:val="24"/>
                <w:lang w:val="en-US" w:eastAsia="zh-CN"/>
              </w:rPr>
              <w:t xml:space="preserve">套</w:t>
            </w:r>
            <w:r/>
          </w:p>
        </w:tc>
        <w:tc>
          <w:tcPr>
            <w:tcW w:w="2136" w:type="dxa"/>
            <w:vAlign w:val="center"/>
            <w:textDirection w:val="lrTb"/>
            <w:noWrap w:val="false"/>
          </w:tcPr>
          <w:p>
            <w:pPr>
              <w:pStyle w:val="934"/>
              <w:ind w:firstLine="0"/>
              <w:jc w:val="left"/>
              <w:rPr>
                <w:rFonts w:hint="eastAsia" w:hAnsi="宋体" w:eastAsia="宋体"/>
                <w:sz w:val="24"/>
                <w:szCs w:val="24"/>
                <w:lang w:eastAsia="zh-CN"/>
              </w:rPr>
            </w:pPr>
            <w:r>
              <w:rPr>
                <w:rFonts w:hint="eastAsia" w:hAnsi="宋体"/>
                <w:sz w:val="24"/>
                <w:szCs w:val="24"/>
                <w:lang w:val="en-US" w:eastAsia="zh-CN"/>
              </w:rPr>
              <w:t xml:space="preserve">1</w:t>
            </w:r>
            <w:bookmarkStart w:id="259" w:name="_GoBack"/>
            <w:r/>
            <w:bookmarkEnd w:id="259"/>
            <w:r/>
            <w:r/>
          </w:p>
        </w:tc>
      </w:tr>
      <w:tr>
        <w:trPr>
          <w:jc w:val="center"/>
          <w:trHeight w:val="0"/>
        </w:trPr>
        <w:tc>
          <w:tcPr>
            <w:tcW w:w="1054" w:type="dxa"/>
            <w:vAlign w:val="center"/>
            <w:textDirection w:val="lrTb"/>
            <w:noWrap w:val="false"/>
          </w:tcPr>
          <w:p>
            <w:pPr>
              <w:pStyle w:val="934"/>
              <w:ind w:firstLine="0"/>
              <w:jc w:val="left"/>
              <w:rPr>
                <w:rFonts w:hint="default" w:ascii="宋体" w:hAnsi="宋体" w:eastAsia="宋体" w:cs="宋体"/>
                <w:b/>
                <w:sz w:val="24"/>
                <w:szCs w:val="24"/>
                <w:highlight w:val="yellow"/>
                <w:lang w:val="en-US" w:eastAsia="zh-CN"/>
              </w:rPr>
            </w:pPr>
            <w:r>
              <w:rPr>
                <w:rFonts w:hint="eastAsia" w:hAnsi="宋体" w:cs="宋体"/>
                <w:b/>
                <w:sz w:val="24"/>
                <w:szCs w:val="24"/>
                <w:highlight w:val="yellow"/>
                <w:lang w:val="en-US" w:eastAsia="zh-CN"/>
              </w:rPr>
              <w:t xml:space="preserve">3</w:t>
            </w:r>
            <w:r/>
          </w:p>
        </w:tc>
        <w:tc>
          <w:tcPr>
            <w:tcW w:w="6003" w:type="dxa"/>
            <w:vAlign w:val="center"/>
            <w:textDirection w:val="lrTb"/>
            <w:noWrap w:val="false"/>
          </w:tcPr>
          <w:p>
            <w:pPr>
              <w:pStyle w:val="934"/>
              <w:ind w:firstLine="0"/>
              <w:jc w:val="left"/>
              <w:rPr>
                <w:rFonts w:hAnsi="宋体" w:cs="Times New Roman"/>
                <w:b/>
                <w:sz w:val="24"/>
                <w:szCs w:val="24"/>
              </w:rPr>
            </w:pPr>
            <w:r>
              <w:rPr>
                <w:rFonts w:hint="eastAsia" w:ascii="宋体" w:hAnsi="宋体"/>
                <w:sz w:val="24"/>
                <w:szCs w:val="24"/>
              </w:rPr>
              <w:t xml:space="preserve">自走式青饲料收获机</w:t>
            </w:r>
            <w:r/>
          </w:p>
        </w:tc>
        <w:tc>
          <w:tcPr>
            <w:tcW w:w="766" w:type="dxa"/>
            <w:vAlign w:val="center"/>
            <w:textDirection w:val="lrTb"/>
            <w:noWrap w:val="false"/>
          </w:tcPr>
          <w:p>
            <w:pPr>
              <w:pStyle w:val="934"/>
              <w:ind w:firstLine="0"/>
              <w:jc w:val="left"/>
              <w:rPr>
                <w:rFonts w:hint="eastAsia" w:hAnsi="宋体" w:eastAsia="宋体"/>
                <w:sz w:val="24"/>
                <w:szCs w:val="24"/>
                <w:lang w:eastAsia="zh-CN"/>
              </w:rPr>
            </w:pPr>
            <w:r>
              <w:rPr>
                <w:rFonts w:hint="eastAsia" w:hAnsi="宋体"/>
                <w:sz w:val="24"/>
                <w:szCs w:val="24"/>
                <w:lang w:val="en-US" w:eastAsia="zh-CN"/>
              </w:rPr>
              <w:t xml:space="preserve">套</w:t>
            </w:r>
            <w:r/>
          </w:p>
        </w:tc>
        <w:tc>
          <w:tcPr>
            <w:tcW w:w="2136" w:type="dxa"/>
            <w:vAlign w:val="center"/>
            <w:textDirection w:val="lrTb"/>
            <w:noWrap w:val="false"/>
          </w:tcPr>
          <w:p>
            <w:pPr>
              <w:pStyle w:val="934"/>
              <w:ind w:firstLine="0"/>
              <w:jc w:val="left"/>
              <w:rPr>
                <w:rFonts w:hAnsi="宋体"/>
                <w:sz w:val="24"/>
                <w:szCs w:val="24"/>
              </w:rPr>
            </w:pPr>
            <w:r>
              <w:rPr>
                <w:rFonts w:hint="eastAsia" w:hAnsi="宋体"/>
                <w:sz w:val="24"/>
                <w:szCs w:val="24"/>
                <w:lang w:val="en-US" w:eastAsia="zh-CN"/>
              </w:rPr>
              <w:t xml:space="preserve">1</w:t>
            </w:r>
            <w:r/>
          </w:p>
        </w:tc>
      </w:tr>
      <w:tr>
        <w:trPr>
          <w:jc w:val="center"/>
          <w:trHeight w:val="0"/>
        </w:trPr>
        <w:tc>
          <w:tcPr>
            <w:tcW w:w="1054" w:type="dxa"/>
            <w:vAlign w:val="center"/>
            <w:textDirection w:val="lrTb"/>
            <w:noWrap w:val="false"/>
          </w:tcPr>
          <w:p>
            <w:pPr>
              <w:pStyle w:val="934"/>
              <w:ind w:firstLine="0"/>
              <w:jc w:val="left"/>
              <w:rPr>
                <w:rFonts w:hint="default" w:ascii="宋体" w:hAnsi="宋体" w:eastAsia="宋体" w:cs="宋体"/>
                <w:b/>
                <w:sz w:val="24"/>
                <w:szCs w:val="24"/>
                <w:highlight w:val="yellow"/>
                <w:lang w:val="en-US" w:eastAsia="zh-CN"/>
              </w:rPr>
            </w:pPr>
            <w:r>
              <w:rPr>
                <w:rFonts w:hint="eastAsia" w:hAnsi="宋体" w:cs="宋体"/>
                <w:b/>
                <w:sz w:val="24"/>
                <w:szCs w:val="24"/>
                <w:highlight w:val="yellow"/>
                <w:lang w:val="en-US" w:eastAsia="zh-CN"/>
              </w:rPr>
              <w:t xml:space="preserve">4</w:t>
            </w:r>
            <w:r/>
          </w:p>
        </w:tc>
        <w:tc>
          <w:tcPr>
            <w:tcW w:w="6003" w:type="dxa"/>
            <w:vAlign w:val="center"/>
            <w:textDirection w:val="lrTb"/>
            <w:noWrap w:val="false"/>
          </w:tcPr>
          <w:p>
            <w:pPr>
              <w:numPr>
                <w:numId w:val="0"/>
              </w:numPr>
              <w:ind w:right="0"/>
              <w:jc w:val="both"/>
              <w:keepLines w:val="0"/>
              <w:keepNext w:val="0"/>
              <w:pageBreakBefore w:val="0"/>
              <w:spacing w:line="360" w:lineRule="auto"/>
              <w:widowControl w:val="off"/>
              <w:rPr>
                <w:rFonts w:hAnsi="宋体" w:cs="Times New Roman"/>
                <w:b/>
                <w:sz w:val="24"/>
                <w:szCs w:val="24"/>
              </w:rPr>
            </w:pPr>
            <w:r>
              <w:rPr>
                <w:rFonts w:hint="eastAsia" w:ascii="宋体" w:hAnsi="宋体" w:cs="宋体"/>
                <w:b/>
                <w:bCs/>
                <w:sz w:val="24"/>
                <w:szCs w:val="24"/>
                <w:highlight w:val="none"/>
                <w:lang w:val="en-US" w:eastAsia="zh-CN"/>
              </w:rPr>
              <w:t xml:space="preserve">捡拾打捆机</w:t>
            </w:r>
            <w:r/>
          </w:p>
        </w:tc>
        <w:tc>
          <w:tcPr>
            <w:tcW w:w="766" w:type="dxa"/>
            <w:vAlign w:val="center"/>
            <w:textDirection w:val="lrTb"/>
            <w:noWrap w:val="false"/>
          </w:tcPr>
          <w:p>
            <w:pPr>
              <w:pStyle w:val="934"/>
              <w:ind w:firstLine="0"/>
              <w:jc w:val="left"/>
              <w:rPr>
                <w:rFonts w:hint="eastAsia" w:hAnsi="宋体" w:eastAsia="宋体" w:cs="Times New Roman"/>
                <w:sz w:val="24"/>
                <w:szCs w:val="24"/>
                <w:lang w:eastAsia="zh-CN"/>
              </w:rPr>
            </w:pPr>
            <w:r>
              <w:rPr>
                <w:rFonts w:hint="eastAsia" w:hAnsi="宋体"/>
                <w:sz w:val="24"/>
                <w:szCs w:val="24"/>
                <w:lang w:val="en-US" w:eastAsia="zh-CN"/>
              </w:rPr>
              <w:t xml:space="preserve">台</w:t>
            </w:r>
            <w:r/>
          </w:p>
        </w:tc>
        <w:tc>
          <w:tcPr>
            <w:tcW w:w="2136" w:type="dxa"/>
            <w:vAlign w:val="center"/>
            <w:textDirection w:val="lrTb"/>
            <w:noWrap w:val="false"/>
          </w:tcPr>
          <w:p>
            <w:pPr>
              <w:pStyle w:val="934"/>
              <w:ind w:firstLine="0"/>
              <w:jc w:val="left"/>
              <w:rPr>
                <w:rFonts w:hAnsi="宋体" w:cs="Times New Roman"/>
                <w:sz w:val="24"/>
                <w:szCs w:val="24"/>
              </w:rPr>
            </w:pPr>
            <w:r>
              <w:rPr>
                <w:rFonts w:hint="eastAsia" w:hAnsi="宋体"/>
                <w:sz w:val="24"/>
                <w:szCs w:val="24"/>
                <w:lang w:val="en-US" w:eastAsia="zh-CN"/>
              </w:rPr>
              <w:t xml:space="preserve">4</w:t>
            </w:r>
            <w:r/>
          </w:p>
        </w:tc>
      </w:tr>
      <w:tr>
        <w:trPr>
          <w:jc w:val="center"/>
          <w:trHeight w:val="0"/>
        </w:trPr>
        <w:tc>
          <w:tcPr>
            <w:tcW w:w="1054" w:type="dxa"/>
            <w:vAlign w:val="center"/>
            <w:textDirection w:val="lrTb"/>
            <w:noWrap w:val="false"/>
          </w:tcPr>
          <w:p>
            <w:pPr>
              <w:pStyle w:val="934"/>
              <w:ind w:firstLine="0"/>
              <w:jc w:val="left"/>
              <w:rPr>
                <w:rFonts w:hint="default" w:ascii="宋体" w:hAnsi="宋体" w:eastAsia="宋体" w:cs="宋体"/>
                <w:b/>
                <w:sz w:val="24"/>
                <w:szCs w:val="24"/>
                <w:highlight w:val="yellow"/>
                <w:lang w:val="en-US" w:eastAsia="zh-CN"/>
              </w:rPr>
            </w:pPr>
            <w:r>
              <w:rPr>
                <w:rFonts w:hint="eastAsia" w:hAnsi="宋体" w:cs="宋体"/>
                <w:b/>
                <w:sz w:val="24"/>
                <w:szCs w:val="24"/>
                <w:highlight w:val="yellow"/>
                <w:lang w:val="en-US" w:eastAsia="zh-CN"/>
              </w:rPr>
              <w:t xml:space="preserve">5</w:t>
            </w:r>
            <w:r/>
          </w:p>
        </w:tc>
        <w:tc>
          <w:tcPr>
            <w:tcW w:w="6003" w:type="dxa"/>
            <w:vAlign w:val="center"/>
            <w:textDirection w:val="lrTb"/>
            <w:noWrap w:val="false"/>
          </w:tcPr>
          <w:p>
            <w:pPr>
              <w:numPr>
                <w:numId w:val="0"/>
              </w:numPr>
              <w:ind w:right="0"/>
              <w:jc w:val="both"/>
              <w:keepLines w:val="0"/>
              <w:keepNext w:val="0"/>
              <w:pageBreakBefore w:val="0"/>
              <w:spacing w:line="360" w:lineRule="auto"/>
              <w:widowControl w:val="off"/>
              <w:rPr>
                <w:rFonts w:hAnsi="宋体" w:cs="Times New Roman"/>
                <w:b/>
                <w:color w:val="000000"/>
                <w:sz w:val="24"/>
                <w:szCs w:val="24"/>
              </w:rPr>
            </w:pPr>
            <w:r>
              <w:rPr>
                <w:rFonts w:hint="eastAsia" w:ascii="宋体" w:hAnsi="宋体" w:cs="宋体"/>
                <w:b/>
                <w:bCs/>
                <w:sz w:val="24"/>
                <w:szCs w:val="24"/>
                <w:highlight w:val="none"/>
                <w:lang w:val="en-US" w:eastAsia="zh-CN"/>
              </w:rPr>
              <w:t xml:space="preserve">轮式拖拉机</w:t>
            </w:r>
            <w:r/>
          </w:p>
        </w:tc>
        <w:tc>
          <w:tcPr>
            <w:tcW w:w="766" w:type="dxa"/>
            <w:vAlign w:val="center"/>
            <w:textDirection w:val="lrTb"/>
            <w:noWrap w:val="false"/>
          </w:tcPr>
          <w:p>
            <w:pPr>
              <w:pStyle w:val="934"/>
              <w:ind w:firstLine="0"/>
              <w:jc w:val="left"/>
              <w:rPr>
                <w:rFonts w:hint="default" w:hAnsi="宋体" w:eastAsia="宋体" w:cs="Times New Roman"/>
                <w:spacing w:val="-10"/>
                <w:sz w:val="24"/>
                <w:szCs w:val="24"/>
                <w:lang w:val="en-US" w:eastAsia="zh-CN"/>
              </w:rPr>
            </w:pPr>
            <w:r>
              <w:rPr>
                <w:rFonts w:hint="eastAsia" w:hAnsi="宋体" w:cs="Times New Roman"/>
                <w:spacing w:val="-10"/>
                <w:sz w:val="24"/>
                <w:szCs w:val="24"/>
                <w:lang w:val="en-US" w:eastAsia="zh-CN"/>
              </w:rPr>
              <w:t xml:space="preserve">台</w:t>
            </w:r>
            <w:r/>
          </w:p>
        </w:tc>
        <w:tc>
          <w:tcPr>
            <w:tcW w:w="2136" w:type="dxa"/>
            <w:vAlign w:val="center"/>
            <w:textDirection w:val="lrTb"/>
            <w:noWrap w:val="false"/>
          </w:tcPr>
          <w:p>
            <w:pPr>
              <w:pStyle w:val="934"/>
              <w:ind w:firstLine="0"/>
              <w:jc w:val="left"/>
              <w:rPr>
                <w:rFonts w:hint="eastAsia" w:hAnsi="宋体" w:eastAsia="宋体" w:cs="Times New Roman"/>
                <w:sz w:val="24"/>
                <w:szCs w:val="24"/>
                <w:lang w:eastAsia="zh-CN"/>
              </w:rPr>
            </w:pPr>
            <w:r>
              <w:rPr>
                <w:rFonts w:hint="eastAsia" w:hAnsi="宋体" w:cs="Times New Roman"/>
                <w:sz w:val="24"/>
                <w:szCs w:val="24"/>
                <w:lang w:val="en-US" w:eastAsia="zh-CN"/>
              </w:rPr>
              <w:t xml:space="preserve">4</w:t>
            </w:r>
            <w:r/>
          </w:p>
        </w:tc>
      </w:tr>
    </w:tbl>
    <w:p>
      <w:pPr>
        <w:numPr>
          <w:numId w:val="0"/>
        </w:numPr>
        <w:ind w:left="482" w:right="0"/>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numPr>
          <w:ilvl w:val="0"/>
          <w:numId w:val="0"/>
        </w:numPr>
        <w:ind w:right="0" w:firstLine="241"/>
        <w:jc w:val="both"/>
        <w:keepLines w:val="0"/>
        <w:keepNext w:val="0"/>
        <w:pageBreakBefore w:val="0"/>
        <w:spacing w:line="360" w:lineRule="auto"/>
        <w:widowControl w:val="off"/>
        <w:rPr>
          <w:rFonts w:hint="default"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1.秸秆粉碎机、秸秆全封闭弹筛</w:t>
      </w:r>
      <w:r/>
    </w:p>
    <w:tbl>
      <w:tblPr>
        <w:tblStyle w:val="697"/>
        <w:tblW w:w="979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auto"/>
        <w:tblLayout w:type="autofit"/>
        <w:tblCellMar>
          <w:left w:w="0" w:type="dxa"/>
          <w:top w:w="0" w:type="dxa"/>
          <w:right w:w="0" w:type="dxa"/>
          <w:bottom w:w="0" w:type="dxa"/>
        </w:tblCellMar>
        <w:tblLook w:val="04A0" w:firstRow="1" w:lastRow="0" w:firstColumn="1" w:lastColumn="0" w:noHBand="0" w:noVBand="1"/>
      </w:tblPr>
      <w:tblGrid>
        <w:gridCol w:w="2100"/>
        <w:gridCol w:w="7691"/>
      </w:tblGrid>
      <w:tr>
        <w:trPr>
          <w:jc w:val="center"/>
          <w:trHeight w:val="0"/>
        </w:trPr>
        <w:tc>
          <w:tcPr>
            <w:shd w:val="clear" w:color="auto" w:fill="auto"/>
            <w:tcBorders>
              <w:top w:val="single" w:color="000000" w:sz="6" w:space="0"/>
              <w:left w:val="single" w:color="000000" w:sz="6" w:space="0"/>
              <w:bottom w:val="single" w:color="000000" w:sz="6" w:space="0"/>
              <w:right w:val="single" w:color="000000" w:sz="6" w:space="0"/>
            </w:tcBorders>
            <w:tcW w:w="2100" w:type="dxa"/>
            <w:vAlign w:val="center"/>
            <w:textDirection w:val="lrTb"/>
            <w:noWrap w:val="false"/>
          </w:tcPr>
          <w:p>
            <w:pPr>
              <w:ind w:left="0" w:right="0" w:firstLine="0"/>
              <w:jc w:val="center"/>
              <w:keepLines w:val="0"/>
              <w:keepNext w:val="0"/>
              <w:pageBreakBefore w:val="0"/>
              <w:spacing w:beforeAutospacing="0" w:afterAutospacing="0" w:line="320" w:lineRule="exact"/>
              <w:widowControl/>
              <w:rPr>
                <w:rFonts w:hint="eastAsia" w:ascii="仿宋_GB2312" w:hAnsi="仿宋_GB2312" w:eastAsia="仿宋_GB2312" w:cs="仿宋_GB2312"/>
                <w:sz w:val="28"/>
                <w:szCs w:val="28"/>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仿宋_GB2312" w:hAnsi="仿宋_GB2312" w:cs="仿宋_GB2312"/>
                <w:sz w:val="28"/>
                <w:szCs w:val="28"/>
                <w:lang w:val="en-US" w:eastAsia="zh-CN" w:bidi="ar-SA"/>
              </w:rPr>
              <w:t xml:space="preserve">设备规格参数</w:t>
            </w:r>
            <w:r/>
          </w:p>
        </w:tc>
        <w:tc>
          <w:tcPr>
            <w:shd w:val="clear" w:color="auto" w:fill="auto"/>
            <w:tcBorders>
              <w:top w:val="single" w:color="000000" w:sz="6" w:space="0"/>
              <w:left w:val="single" w:color="000000" w:sz="6" w:space="0"/>
              <w:bottom w:val="single" w:color="000000" w:sz="6" w:space="0"/>
              <w:right w:val="single" w:color="000000" w:sz="6" w:space="0"/>
            </w:tcBorders>
            <w:tcW w:w="7691" w:type="dxa"/>
            <w:vAlign w:val="top"/>
            <w:textDirection w:val="lrTb"/>
            <w:noWrap w:val="false"/>
          </w:tcPr>
          <w:p>
            <w:pPr>
              <w:numPr>
                <w:ilvl w:val="0"/>
                <w:numId w:val="0"/>
              </w:numPr>
              <w:ind w:right="0"/>
              <w:jc w:val="both"/>
              <w:keepLines w:val="0"/>
              <w:keepNext w:val="0"/>
              <w:pageBreakBefore w:val="0"/>
              <w:spacing w:before="0" w:beforeAutospacing="0" w:after="0" w:afterAutospacing="0" w:line="320" w:lineRule="exact"/>
              <w:widowControl/>
              <w:tabs>
                <w:tab w:val="left" w:pos="1821" w:leader="none"/>
              </w:tabs>
              <w:rPr>
                <w:rFonts w:hint="eastAsia" w:ascii="仿宋_GB2312" w:hAnsi="仿宋_GB2312" w:cs="仿宋_GB2312"/>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_GB2312" w:hAnsi="仿宋_GB2312" w:cs="仿宋_GB2312"/>
                <w:sz w:val="28"/>
                <w:szCs w:val="28"/>
                <w:lang w:val="en-US" w:eastAsia="zh-CN" w:bidi="ar-SA"/>
              </w:rPr>
              <w:t xml:space="preserve">提供所需设备:1、性能，主要参数2、功能要求</w:t>
            </w:r>
            <w:r/>
          </w:p>
          <w:p>
            <w:pPr>
              <w:numPr>
                <w:ilvl w:val="0"/>
                <w:numId w:val="0"/>
              </w:numPr>
              <w:ind w:right="0"/>
              <w:jc w:val="both"/>
              <w:keepLines w:val="0"/>
              <w:keepNext w:val="0"/>
              <w:pageBreakBefore w:val="0"/>
              <w:spacing w:before="0" w:beforeAutospacing="0" w:after="0" w:afterAutospacing="0" w:line="320" w:lineRule="exact"/>
              <w:widowControl/>
              <w:tabs>
                <w:tab w:val="left" w:pos="1821" w:leader="none"/>
              </w:tabs>
              <w:rPr>
                <w:rFonts w:hint="eastAsia" w:ascii="仿宋_GB2312" w:hAnsi="仿宋_GB2312" w:cs="仿宋_GB2312"/>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_GB2312" w:hAnsi="仿宋_GB2312" w:cs="仿宋_GB2312"/>
                <w:sz w:val="28"/>
                <w:szCs w:val="28"/>
                <w:lang w:val="en-US" w:eastAsia="zh-CN" w:bidi="ar-SA"/>
              </w:rPr>
              <w:t xml:space="preserve">秸秆粉碎机:</w:t>
            </w:r>
            <w:r/>
          </w:p>
          <w:p>
            <w:pPr>
              <w:numPr>
                <w:ilvl w:val="0"/>
                <w:numId w:val="0"/>
              </w:numPr>
              <w:ind w:right="0"/>
              <w:jc w:val="both"/>
              <w:keepLines w:val="0"/>
              <w:keepNext w:val="0"/>
              <w:pageBreakBefore w:val="0"/>
              <w:spacing w:before="0" w:beforeAutospacing="0" w:after="0" w:afterAutospacing="0" w:line="320" w:lineRule="exact"/>
              <w:widowControl/>
              <w:tabs>
                <w:tab w:val="left" w:pos="1821" w:leader="none"/>
              </w:tabs>
              <w:rPr>
                <w:rFonts w:hint="eastAsia" w:ascii="仿宋_GB2312" w:hAnsi="仿宋_GB2312" w:cs="仿宋_GB2312"/>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_GB2312" w:hAnsi="仿宋_GB2312" w:cs="仿宋_GB2312"/>
                <w:sz w:val="28"/>
                <w:szCs w:val="28"/>
                <w:lang w:val="en-US" w:eastAsia="zh-CN" w:bidi="ar-SA"/>
              </w:rPr>
              <w:t xml:space="preserve">性能:</w:t>
            </w:r>
            <w:r/>
          </w:p>
          <w:p>
            <w:pPr>
              <w:numPr>
                <w:ilvl w:val="0"/>
                <w:numId w:val="0"/>
              </w:numPr>
              <w:ind w:right="0"/>
              <w:jc w:val="both"/>
              <w:keepLines w:val="0"/>
              <w:keepNext w:val="0"/>
              <w:pageBreakBefore w:val="0"/>
              <w:spacing w:before="0" w:beforeAutospacing="0" w:after="0" w:afterAutospacing="0" w:line="320" w:lineRule="exact"/>
              <w:widowControl/>
              <w:tabs>
                <w:tab w:val="left" w:pos="1821" w:leader="none"/>
              </w:tabs>
              <w:rPr>
                <w:rFonts w:hint="eastAsia" w:ascii="仿宋_GB2312" w:hAnsi="仿宋_GB2312" w:cs="仿宋_GB2312"/>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yellow"/>
                <w:lang w:val="en-US" w:eastAsia="zh-CN"/>
              </w:rPr>
              <w:t xml:space="preserve">▲</w:t>
            </w:r>
            <w:r>
              <w:rPr>
                <w:rFonts w:hint="eastAsia" w:ascii="仿宋_GB2312" w:hAnsi="仿宋_GB2312" w:cs="仿宋_GB2312"/>
                <w:sz w:val="28"/>
                <w:szCs w:val="28"/>
                <w:lang w:val="en-US" w:eastAsia="zh-CN" w:bidi="ar-SA"/>
              </w:rPr>
              <w:t xml:space="preserve">主电机功率≥200KW、</w:t>
            </w:r>
            <w:r/>
          </w:p>
          <w:p>
            <w:pPr>
              <w:numPr>
                <w:ilvl w:val="0"/>
                <w:numId w:val="0"/>
              </w:numPr>
              <w:ind w:right="0"/>
              <w:jc w:val="both"/>
              <w:keepLines w:val="0"/>
              <w:keepNext w:val="0"/>
              <w:pageBreakBefore w:val="0"/>
              <w:spacing w:before="0" w:beforeAutospacing="0" w:after="0" w:afterAutospacing="0" w:line="320" w:lineRule="exact"/>
              <w:widowControl/>
              <w:tabs>
                <w:tab w:val="left" w:pos="1821" w:leader="none"/>
              </w:tabs>
              <w:rPr>
                <w:rFonts w:hint="eastAsia" w:ascii="仿宋_GB2312" w:hAnsi="仿宋_GB2312" w:cs="仿宋_GB2312"/>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yellow"/>
                <w:lang w:val="en-US" w:eastAsia="zh-CN"/>
              </w:rPr>
              <w:t xml:space="preserve">▲</w:t>
            </w:r>
            <w:r>
              <w:rPr>
                <w:rFonts w:hint="eastAsia" w:ascii="仿宋_GB2312" w:hAnsi="仿宋_GB2312" w:cs="仿宋_GB2312"/>
                <w:sz w:val="28"/>
                <w:szCs w:val="28"/>
                <w:lang w:val="en-US" w:eastAsia="zh-CN" w:bidi="ar-SA"/>
              </w:rPr>
              <w:t xml:space="preserve">进料口≥3.6米、</w:t>
            </w:r>
            <w:r/>
          </w:p>
          <w:p>
            <w:pPr>
              <w:numPr>
                <w:ilvl w:val="0"/>
                <w:numId w:val="0"/>
              </w:numPr>
              <w:ind w:right="0"/>
              <w:jc w:val="both"/>
              <w:keepLines w:val="0"/>
              <w:keepNext w:val="0"/>
              <w:pageBreakBefore w:val="0"/>
              <w:spacing w:before="0" w:beforeAutospacing="0" w:after="0" w:afterAutospacing="0" w:line="320" w:lineRule="exact"/>
              <w:widowControl/>
              <w:tabs>
                <w:tab w:val="left" w:pos="1821" w:leader="none"/>
              </w:tabs>
              <w:rPr>
                <w:rFonts w:hint="eastAsia" w:ascii="仿宋_GB2312" w:hAnsi="仿宋_GB2312" w:cs="仿宋_GB2312"/>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yellow"/>
                <w:lang w:val="en-US" w:eastAsia="zh-CN"/>
              </w:rPr>
              <w:t xml:space="preserve">▲</w:t>
            </w:r>
            <w:r>
              <w:rPr>
                <w:rFonts w:hint="eastAsia" w:ascii="仿宋_GB2312" w:hAnsi="仿宋_GB2312" w:cs="仿宋_GB2312"/>
                <w:sz w:val="28"/>
                <w:szCs w:val="28"/>
                <w:lang w:val="en-US" w:eastAsia="zh-CN" w:bidi="ar-SA"/>
              </w:rPr>
              <w:t xml:space="preserve">独立液压驱动系统</w:t>
            </w:r>
            <w:r/>
          </w:p>
          <w:p>
            <w:pPr>
              <w:numPr>
                <w:ilvl w:val="0"/>
                <w:numId w:val="0"/>
              </w:numPr>
              <w:ind w:right="0"/>
              <w:jc w:val="both"/>
              <w:keepLines w:val="0"/>
              <w:keepNext w:val="0"/>
              <w:pageBreakBefore w:val="0"/>
              <w:spacing w:before="0" w:beforeAutospacing="0" w:after="0" w:afterAutospacing="0" w:line="320" w:lineRule="exact"/>
              <w:widowControl/>
              <w:tabs>
                <w:tab w:val="left" w:pos="1821" w:leader="none"/>
              </w:tabs>
              <w:rPr>
                <w:rFonts w:hint="eastAsia" w:ascii="仿宋_GB2312" w:hAnsi="仿宋_GB2312" w:cs="仿宋_GB2312"/>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_GB2312" w:hAnsi="仿宋_GB2312" w:cs="仿宋_GB2312"/>
                <w:sz w:val="28"/>
                <w:szCs w:val="28"/>
                <w:lang w:val="en-US" w:eastAsia="zh-CN" w:bidi="ar-SA"/>
              </w:rPr>
              <w:t xml:space="preserve">功能:</w:t>
            </w:r>
            <w:r>
              <w:rPr>
                <w:rFonts w:hint="eastAsia" w:ascii="宋体" w:hAnsi="宋体" w:eastAsia="宋体" w:cs="宋体"/>
                <w:sz w:val="24"/>
                <w:szCs w:val="24"/>
                <w:highlight w:val="yellow"/>
                <w:lang w:val="en-US" w:eastAsia="zh-CN"/>
              </w:rPr>
              <w:t xml:space="preserve">▲</w:t>
            </w:r>
            <w:r>
              <w:rPr>
                <w:rFonts w:hint="eastAsia" w:ascii="仿宋_GB2312" w:hAnsi="仿宋_GB2312" w:cs="仿宋_GB2312"/>
                <w:sz w:val="28"/>
                <w:szCs w:val="28"/>
                <w:lang w:val="en-US" w:eastAsia="zh-CN" w:bidi="ar-SA"/>
              </w:rPr>
              <w:t xml:space="preserve">工作效率≥15吨/小时，包含输送带及除尘</w:t>
            </w:r>
            <w:r/>
          </w:p>
          <w:p>
            <w:pPr>
              <w:numPr>
                <w:ilvl w:val="0"/>
                <w:numId w:val="0"/>
              </w:numPr>
              <w:ind w:right="0"/>
              <w:jc w:val="both"/>
              <w:keepLines w:val="0"/>
              <w:keepNext w:val="0"/>
              <w:pageBreakBefore w:val="0"/>
              <w:spacing w:before="0" w:beforeAutospacing="0" w:after="0" w:afterAutospacing="0" w:line="320" w:lineRule="exact"/>
              <w:widowControl/>
              <w:tabs>
                <w:tab w:val="left" w:pos="1821" w:leader="none"/>
              </w:tabs>
              <w:rPr>
                <w:rFonts w:hint="eastAsia" w:ascii="仿宋_GB2312" w:hAnsi="仿宋_GB2312" w:cs="仿宋_GB2312"/>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_GB2312" w:hAnsi="仿宋_GB2312" w:cs="仿宋_GB2312"/>
                <w:sz w:val="28"/>
                <w:szCs w:val="28"/>
                <w:lang w:val="en-US" w:eastAsia="zh-CN" w:bidi="ar-SA"/>
              </w:rPr>
              <w:t xml:space="preserve">秸秆全封闭弹筛:</w:t>
            </w:r>
            <w:r/>
          </w:p>
          <w:p>
            <w:pPr>
              <w:numPr>
                <w:ilvl w:val="0"/>
                <w:numId w:val="0"/>
              </w:numPr>
              <w:ind w:right="0"/>
              <w:jc w:val="both"/>
              <w:keepLines w:val="0"/>
              <w:keepNext w:val="0"/>
              <w:pageBreakBefore w:val="0"/>
              <w:spacing w:before="0" w:beforeAutospacing="0" w:after="0" w:afterAutospacing="0" w:line="320" w:lineRule="exact"/>
              <w:widowControl/>
              <w:tabs>
                <w:tab w:val="left" w:pos="1821" w:leader="none"/>
              </w:tabs>
              <w:rPr>
                <w:rFonts w:hint="eastAsia" w:ascii="仿宋_GB2312" w:hAnsi="仿宋_GB2312" w:cs="仿宋_GB2312"/>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_GB2312" w:hAnsi="仿宋_GB2312" w:cs="仿宋_GB2312"/>
                <w:sz w:val="28"/>
                <w:szCs w:val="28"/>
                <w:lang w:val="en-US" w:eastAsia="zh-CN" w:bidi="ar-SA"/>
              </w:rPr>
              <w:t xml:space="preserve">性能:  </w:t>
            </w:r>
            <w:r>
              <w:rPr>
                <w:rFonts w:hint="eastAsia" w:ascii="宋体" w:hAnsi="宋体" w:eastAsia="宋体" w:cs="宋体"/>
                <w:sz w:val="24"/>
                <w:szCs w:val="24"/>
                <w:highlight w:val="yellow"/>
                <w:lang w:val="en-US" w:eastAsia="zh-CN"/>
              </w:rPr>
              <w:t xml:space="preserve">▲</w:t>
            </w:r>
            <w:r>
              <w:rPr>
                <w:rFonts w:hint="eastAsia" w:ascii="仿宋_GB2312" w:hAnsi="仿宋_GB2312" w:cs="仿宋_GB2312"/>
                <w:sz w:val="28"/>
                <w:szCs w:val="28"/>
                <w:lang w:val="en-US" w:eastAsia="zh-CN" w:bidi="ar-SA"/>
              </w:rPr>
              <w:t xml:space="preserve">主传动BWD5减速机配18.5KW电机</w:t>
            </w:r>
            <w:r/>
          </w:p>
          <w:p>
            <w:pPr>
              <w:numPr>
                <w:ilvl w:val="0"/>
                <w:numId w:val="0"/>
              </w:numPr>
              <w:ind w:right="0" w:firstLine="960"/>
              <w:jc w:val="both"/>
              <w:keepLines w:val="0"/>
              <w:keepNext w:val="0"/>
              <w:pageBreakBefore w:val="0"/>
              <w:spacing w:before="0" w:beforeAutospacing="0" w:after="0" w:afterAutospacing="0" w:line="320" w:lineRule="exact"/>
              <w:widowControl/>
              <w:tabs>
                <w:tab w:val="left" w:pos="1821" w:leader="none"/>
              </w:tabs>
              <w:rPr>
                <w:rFonts w:hint="eastAsia" w:ascii="仿宋_GB2312" w:hAnsi="仿宋_GB2312" w:cs="仿宋_GB2312"/>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yellow"/>
                <w:lang w:val="en-US" w:eastAsia="zh-CN"/>
              </w:rPr>
              <w:t xml:space="preserve">▲</w:t>
            </w:r>
            <w:r>
              <w:rPr>
                <w:rFonts w:hint="eastAsia" w:ascii="仿宋_GB2312" w:hAnsi="仿宋_GB2312" w:cs="仿宋_GB2312"/>
                <w:sz w:val="28"/>
                <w:szCs w:val="28"/>
                <w:lang w:val="en-US" w:eastAsia="zh-CN" w:bidi="ar-SA"/>
              </w:rPr>
              <w:t xml:space="preserve">副传动BWD5减速机配18.5KW电机</w:t>
            </w:r>
            <w:r/>
          </w:p>
          <w:p>
            <w:pPr>
              <w:numPr>
                <w:ilvl w:val="0"/>
                <w:numId w:val="0"/>
              </w:numPr>
              <w:ind w:right="0" w:firstLine="1120"/>
              <w:jc w:val="both"/>
              <w:keepLines w:val="0"/>
              <w:keepNext w:val="0"/>
              <w:pageBreakBefore w:val="0"/>
              <w:spacing w:before="0" w:beforeAutospacing="0" w:after="0" w:afterAutospacing="0" w:line="320" w:lineRule="exact"/>
              <w:widowControl/>
              <w:tabs>
                <w:tab w:val="left" w:pos="1821" w:leader="none"/>
              </w:tabs>
              <w:rPr>
                <w:rFonts w:hint="eastAsia" w:ascii="仿宋_GB2312" w:hAnsi="仿宋_GB2312" w:cs="仿宋_GB2312"/>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_GB2312" w:hAnsi="仿宋_GB2312" w:cs="仿宋_GB2312"/>
                <w:sz w:val="28"/>
                <w:szCs w:val="28"/>
                <w:lang w:val="en-US" w:eastAsia="zh-CN" w:bidi="ar-SA"/>
              </w:rPr>
              <w:t xml:space="preserve">主机底部绞龙BWD4减速机配7.5KW电机</w:t>
            </w:r>
            <w:r/>
          </w:p>
          <w:p>
            <w:pPr>
              <w:numPr>
                <w:ilvl w:val="0"/>
                <w:numId w:val="0"/>
              </w:numPr>
              <w:ind w:right="0" w:firstLine="1120"/>
              <w:jc w:val="both"/>
              <w:keepLines w:val="0"/>
              <w:keepNext w:val="0"/>
              <w:pageBreakBefore w:val="0"/>
              <w:spacing w:before="0" w:beforeAutospacing="0" w:after="0" w:afterAutospacing="0" w:line="320" w:lineRule="exact"/>
              <w:widowControl/>
              <w:tabs>
                <w:tab w:val="left" w:pos="1821" w:leader="none"/>
              </w:tabs>
              <w:rPr>
                <w:rFonts w:hint="eastAsia" w:ascii="仿宋_GB2312" w:hAnsi="仿宋_GB2312" w:cs="仿宋_GB2312"/>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_GB2312" w:hAnsi="仿宋_GB2312" w:cs="仿宋_GB2312"/>
                <w:sz w:val="28"/>
                <w:szCs w:val="28"/>
                <w:lang w:val="en-US" w:eastAsia="zh-CN" w:bidi="ar-SA"/>
              </w:rPr>
              <w:t xml:space="preserve">土糠分离机BWD4减速机配7.5KW电机</w:t>
            </w:r>
            <w:r/>
          </w:p>
          <w:p>
            <w:pPr>
              <w:numPr>
                <w:ilvl w:val="0"/>
                <w:numId w:val="0"/>
              </w:numPr>
              <w:ind w:right="0"/>
              <w:jc w:val="both"/>
              <w:keepLines w:val="0"/>
              <w:keepNext w:val="0"/>
              <w:pageBreakBefore w:val="0"/>
              <w:spacing w:before="0" w:beforeAutospacing="0" w:after="0" w:afterAutospacing="0" w:line="320" w:lineRule="exact"/>
              <w:widowControl/>
              <w:tabs>
                <w:tab w:val="left" w:pos="1821" w:leader="none"/>
              </w:tabs>
              <w:rPr>
                <w:rFonts w:hint="eastAsia" w:ascii="仿宋_GB2312" w:hAnsi="仿宋_GB2312" w:cs="仿宋_GB2312"/>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_GB2312" w:hAnsi="仿宋_GB2312" w:cs="仿宋_GB2312"/>
                <w:sz w:val="28"/>
                <w:szCs w:val="28"/>
                <w:lang w:val="en-US" w:eastAsia="zh-CN" w:bidi="ar-SA"/>
              </w:rPr>
              <w:t xml:space="preserve">功能:</w:t>
            </w:r>
            <w:r>
              <w:rPr>
                <w:rFonts w:hint="eastAsia" w:ascii="宋体" w:hAnsi="宋体" w:eastAsia="宋体" w:cs="宋体"/>
                <w:sz w:val="24"/>
                <w:szCs w:val="24"/>
                <w:highlight w:val="yellow"/>
                <w:lang w:val="en-US" w:eastAsia="zh-CN"/>
              </w:rPr>
              <w:t xml:space="preserve">▲</w:t>
            </w:r>
            <w:r>
              <w:rPr>
                <w:rFonts w:hint="eastAsia" w:ascii="仿宋_GB2312" w:hAnsi="仿宋_GB2312" w:cs="仿宋_GB2312"/>
                <w:sz w:val="28"/>
                <w:szCs w:val="28"/>
                <w:lang w:val="en-US" w:eastAsia="zh-CN" w:bidi="ar-SA"/>
              </w:rPr>
              <w:t xml:space="preserve">灰分指标≤10%，包含除尘系统</w:t>
            </w:r>
            <w:r/>
          </w:p>
          <w:p>
            <w:pPr>
              <w:numPr>
                <w:ilvl w:val="0"/>
                <w:numId w:val="0"/>
              </w:numPr>
              <w:ind w:right="0"/>
              <w:jc w:val="both"/>
              <w:keepLines w:val="0"/>
              <w:keepNext w:val="0"/>
              <w:pageBreakBefore w:val="0"/>
              <w:spacing w:before="0" w:beforeAutospacing="0" w:after="0" w:afterAutospacing="0" w:line="320" w:lineRule="exact"/>
              <w:widowControl/>
              <w:tabs>
                <w:tab w:val="left" w:pos="1821" w:leader="none"/>
              </w:tabs>
              <w:rPr>
                <w:rFonts w:hint="eastAsia" w:ascii="仿宋_GB2312" w:hAnsi="仿宋_GB2312" w:cs="仿宋_GB2312"/>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_GB2312" w:hAnsi="仿宋_GB2312" w:cs="仿宋_GB2312"/>
                <w:sz w:val="28"/>
                <w:szCs w:val="28"/>
                <w:lang w:val="en-US" w:eastAsia="zh-CN" w:bidi="ar-SA"/>
              </w:rPr>
            </w:r>
            <w:r/>
          </w:p>
        </w:tc>
      </w:tr>
    </w:tbl>
    <w:p>
      <w:pPr>
        <w:numPr>
          <w:ilvl w:val="0"/>
          <w:numId w:val="8"/>
        </w:numPr>
        <w:ind w:right="0" w:firstLine="241"/>
        <w:jc w:val="both"/>
        <w:keepLines w:val="0"/>
        <w:keepNext w:val="0"/>
        <w:pageBreakBefore w:val="0"/>
        <w:spacing w:line="360" w:lineRule="auto"/>
        <w:widowControl w:val="off"/>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青贮机规格</w:t>
      </w:r>
      <w:r/>
    </w:p>
    <w:tbl>
      <w:tblPr>
        <w:tblStyle w:val="697"/>
        <w:tblW w:w="99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578"/>
        <w:gridCol w:w="1119"/>
        <w:gridCol w:w="3257"/>
      </w:tblGrid>
      <w:tr>
        <w:trPr>
          <w:jc w:val="center"/>
          <w:trHeight w:val="0"/>
        </w:trPr>
        <w:tc>
          <w:tcPr>
            <w:tcW w:w="5578" w:type="dxa"/>
            <w:textDirection w:val="lrTb"/>
            <w:noWrap w:val="false"/>
          </w:tcPr>
          <w:p>
            <w:pPr>
              <w:jc w:val="center"/>
              <w:spacing w:line="380" w:lineRule="exact"/>
              <w:rPr>
                <w:rFonts w:ascii="宋体"/>
                <w:b/>
                <w:sz w:val="24"/>
                <w:szCs w:val="24"/>
              </w:rPr>
            </w:pPr>
            <w:r>
              <w:rPr>
                <w:rFonts w:hint="eastAsia" w:ascii="宋体" w:hAnsi="宋体" w:cs="宋体"/>
                <w:b/>
                <w:sz w:val="24"/>
                <w:szCs w:val="24"/>
              </w:rPr>
              <w:t xml:space="preserve">项目</w:t>
            </w:r>
            <w:r/>
          </w:p>
        </w:tc>
        <w:tc>
          <w:tcPr>
            <w:tcW w:w="1119" w:type="dxa"/>
            <w:vAlign w:val="center"/>
            <w:textDirection w:val="lrTb"/>
            <w:noWrap w:val="false"/>
          </w:tcPr>
          <w:p>
            <w:pPr>
              <w:pStyle w:val="934"/>
              <w:ind w:firstLine="0"/>
              <w:jc w:val="left"/>
              <w:rPr>
                <w:rFonts w:hAnsi="宋体" w:cs="Times New Roman"/>
                <w:b/>
                <w:sz w:val="24"/>
                <w:szCs w:val="24"/>
              </w:rPr>
            </w:pPr>
            <w:r>
              <w:rPr>
                <w:rFonts w:hint="eastAsia" w:hAnsi="宋体"/>
                <w:b/>
                <w:sz w:val="24"/>
                <w:szCs w:val="24"/>
              </w:rPr>
              <w:t xml:space="preserve">单</w:t>
            </w:r>
            <w:r>
              <w:rPr>
                <w:rFonts w:hAnsi="宋体"/>
                <w:b/>
                <w:sz w:val="24"/>
                <w:szCs w:val="24"/>
              </w:rPr>
              <w:t xml:space="preserve"> </w:t>
            </w:r>
            <w:r>
              <w:rPr>
                <w:rFonts w:hint="eastAsia" w:hAnsi="宋体"/>
                <w:b/>
                <w:sz w:val="24"/>
                <w:szCs w:val="24"/>
              </w:rPr>
              <w:t xml:space="preserve">位</w:t>
            </w:r>
            <w:r/>
          </w:p>
        </w:tc>
        <w:tc>
          <w:tcPr>
            <w:tcW w:w="3257" w:type="dxa"/>
            <w:vAlign w:val="center"/>
            <w:textDirection w:val="lrTb"/>
            <w:noWrap w:val="false"/>
          </w:tcPr>
          <w:p>
            <w:pPr>
              <w:pStyle w:val="934"/>
              <w:ind w:firstLine="0"/>
              <w:jc w:val="left"/>
              <w:rPr>
                <w:rFonts w:hAnsi="宋体" w:cs="Times New Roman"/>
                <w:b/>
                <w:sz w:val="24"/>
                <w:szCs w:val="24"/>
              </w:rPr>
            </w:pPr>
            <w:r>
              <w:rPr>
                <w:rFonts w:hint="eastAsia" w:hAnsi="宋体"/>
                <w:b/>
                <w:sz w:val="24"/>
                <w:szCs w:val="24"/>
              </w:rPr>
              <w:t xml:space="preserve">设计值</w:t>
            </w:r>
            <w:r/>
          </w:p>
        </w:tc>
      </w:tr>
      <w:tr>
        <w:trPr>
          <w:jc w:val="center"/>
          <w:trHeight w:val="0"/>
        </w:trPr>
        <w:tc>
          <w:tcPr>
            <w:tcW w:w="5578" w:type="dxa"/>
            <w:textDirection w:val="lrTb"/>
            <w:noWrap w:val="false"/>
          </w:tcPr>
          <w:p>
            <w:pPr>
              <w:jc w:val="left"/>
              <w:spacing w:line="380" w:lineRule="exact"/>
              <w:rPr>
                <w:rFonts w:ascii="宋体"/>
                <w:b/>
                <w:sz w:val="24"/>
                <w:szCs w:val="24"/>
              </w:rPr>
            </w:pPr>
            <w:r>
              <w:rPr>
                <w:rFonts w:hint="eastAsia" w:hAnsi="宋体" w:cs="宋体"/>
                <w:b/>
                <w:color w:val="000000"/>
                <w:sz w:val="24"/>
                <w:szCs w:val="24"/>
              </w:rPr>
              <w:t xml:space="preserve">型号名称</w:t>
            </w:r>
            <w:r/>
          </w:p>
        </w:tc>
        <w:tc>
          <w:tcPr>
            <w:tcW w:w="1119" w:type="dxa"/>
            <w:textDirection w:val="lrTb"/>
            <w:noWrap w:val="false"/>
          </w:tcPr>
          <w:p>
            <w:pPr>
              <w:jc w:val="left"/>
              <w:spacing w:line="380" w:lineRule="exact"/>
              <w:rPr>
                <w:rFonts w:ascii="宋体"/>
                <w:sz w:val="24"/>
                <w:szCs w:val="24"/>
              </w:rPr>
            </w:pPr>
            <w:r>
              <w:rPr>
                <w:rFonts w:ascii="宋体" w:hAnsi="宋体" w:cs="宋体"/>
                <w:sz w:val="24"/>
                <w:szCs w:val="24"/>
              </w:rPr>
              <w:t xml:space="preserve">/</w:t>
            </w:r>
            <w:r/>
          </w:p>
        </w:tc>
        <w:tc>
          <w:tcPr>
            <w:tcW w:w="3257" w:type="dxa"/>
            <w:textDirection w:val="lrTb"/>
            <w:noWrap w:val="false"/>
          </w:tcPr>
          <w:p>
            <w:pPr>
              <w:pStyle w:val="718"/>
              <w:jc w:val="left"/>
              <w:spacing w:line="380" w:lineRule="exact"/>
              <w:tabs>
                <w:tab w:val="clear" w:pos="4153" w:leader="none"/>
                <w:tab w:val="clear" w:pos="8306" w:leader="none"/>
              </w:tabs>
              <w:rPr>
                <w:rFonts w:ascii="宋体"/>
                <w:sz w:val="24"/>
                <w:szCs w:val="24"/>
              </w:rPr>
              <w:pBdr>
                <w:bottom w:val="none" w:color="auto" w:sz="0" w:space="0"/>
              </w:pBdr>
            </w:pPr>
            <w:r>
              <w:rPr>
                <w:rFonts w:hint="eastAsia" w:ascii="宋体" w:hAnsi="宋体"/>
                <w:sz w:val="24"/>
                <w:szCs w:val="24"/>
              </w:rPr>
              <w:t xml:space="preserve">自走式青饲料收获机</w:t>
            </w:r>
            <w:r/>
          </w:p>
        </w:tc>
      </w:tr>
      <w:tr>
        <w:trPr>
          <w:jc w:val="center"/>
          <w:trHeight w:val="0"/>
        </w:trPr>
        <w:tc>
          <w:tcPr>
            <w:tcW w:w="5578" w:type="dxa"/>
            <w:textDirection w:val="lrTb"/>
            <w:noWrap w:val="false"/>
          </w:tcPr>
          <w:p>
            <w:pPr>
              <w:pStyle w:val="934"/>
              <w:ind w:firstLine="0"/>
              <w:jc w:val="left"/>
              <w:rPr>
                <w:rFonts w:hAnsi="宋体" w:cs="Times New Roman"/>
                <w:b/>
                <w:sz w:val="24"/>
                <w:szCs w:val="24"/>
              </w:rPr>
            </w:pPr>
            <w:r>
              <w:rPr>
                <w:rFonts w:hint="eastAsia" w:hAnsi="宋体"/>
                <w:b/>
                <w:sz w:val="24"/>
                <w:szCs w:val="24"/>
              </w:rPr>
              <w:t xml:space="preserve">形式</w:t>
            </w:r>
            <w:r/>
          </w:p>
        </w:tc>
        <w:tc>
          <w:tcPr>
            <w:tcW w:w="1119" w:type="dxa"/>
            <w:textDirection w:val="lrTb"/>
            <w:noWrap w:val="false"/>
          </w:tcPr>
          <w:p>
            <w:pPr>
              <w:pStyle w:val="934"/>
              <w:ind w:firstLine="0"/>
              <w:jc w:val="left"/>
              <w:rPr>
                <w:rFonts w:hAnsi="宋体"/>
                <w:sz w:val="24"/>
                <w:szCs w:val="24"/>
              </w:rPr>
            </w:pPr>
            <w:r>
              <w:rPr>
                <w:rFonts w:hAnsi="宋体"/>
                <w:sz w:val="24"/>
                <w:szCs w:val="24"/>
              </w:rPr>
              <w:t xml:space="preserve">/</w:t>
            </w:r>
            <w:r/>
          </w:p>
        </w:tc>
        <w:tc>
          <w:tcPr>
            <w:tcW w:w="3257" w:type="dxa"/>
            <w:vAlign w:val="center"/>
            <w:textDirection w:val="lrTb"/>
            <w:noWrap w:val="false"/>
          </w:tcPr>
          <w:p>
            <w:pPr>
              <w:pStyle w:val="934"/>
              <w:ind w:firstLine="0"/>
              <w:jc w:val="left"/>
              <w:rPr>
                <w:rFonts w:hAnsi="宋体"/>
                <w:sz w:val="24"/>
                <w:szCs w:val="24"/>
              </w:rPr>
            </w:pPr>
            <w:r>
              <w:rPr>
                <w:rFonts w:hint="eastAsia" w:hAnsi="宋体"/>
                <w:sz w:val="24"/>
                <w:szCs w:val="24"/>
              </w:rPr>
              <w:t xml:space="preserve">四驱自走式</w:t>
            </w:r>
            <w:r/>
          </w:p>
        </w:tc>
      </w:tr>
      <w:tr>
        <w:trPr>
          <w:jc w:val="center"/>
          <w:trHeight w:val="0"/>
        </w:trPr>
        <w:tc>
          <w:tcPr>
            <w:tcW w:w="5578" w:type="dxa"/>
            <w:vAlign w:val="center"/>
            <w:textDirection w:val="lrTb"/>
            <w:noWrap w:val="false"/>
          </w:tcPr>
          <w:p>
            <w:pPr>
              <w:pStyle w:val="934"/>
              <w:ind w:firstLine="0"/>
              <w:jc w:val="left"/>
              <w:rPr>
                <w:rFonts w:hAnsi="宋体" w:cs="Times New Roman"/>
                <w:b/>
                <w:sz w:val="24"/>
                <w:szCs w:val="24"/>
              </w:rPr>
            </w:pPr>
            <w:r>
              <w:rPr>
                <w:rFonts w:hint="eastAsia" w:ascii="宋体" w:hAnsi="宋体" w:eastAsia="宋体" w:cs="宋体"/>
                <w:b/>
                <w:sz w:val="24"/>
                <w:szCs w:val="24"/>
                <w:highlight w:val="yellow"/>
                <w:lang w:val="en-US" w:eastAsia="zh-CN"/>
              </w:rPr>
              <w:t xml:space="preserve">▲</w:t>
            </w:r>
            <w:r>
              <w:rPr>
                <w:rFonts w:hint="eastAsia" w:hAnsi="宋体"/>
                <w:b/>
                <w:sz w:val="24"/>
                <w:szCs w:val="24"/>
              </w:rPr>
              <w:t xml:space="preserve">工</w:t>
            </w:r>
            <w:r>
              <w:rPr>
                <w:rFonts w:hint="eastAsia" w:hAnsi="宋体"/>
                <w:b/>
                <w:color w:val="ff0000"/>
                <w:sz w:val="24"/>
                <w:szCs w:val="24"/>
              </w:rPr>
              <w:t xml:space="preserve">作状态外形</w:t>
            </w:r>
            <w:r>
              <w:rPr>
                <w:rFonts w:hint="eastAsia" w:hAnsi="宋体"/>
                <w:b/>
                <w:sz w:val="24"/>
                <w:szCs w:val="24"/>
              </w:rPr>
              <w:t xml:space="preserve">尺寸（长×宽×高）</w:t>
            </w:r>
            <w:r/>
          </w:p>
        </w:tc>
        <w:tc>
          <w:tcPr>
            <w:tcW w:w="1119" w:type="dxa"/>
            <w:vAlign w:val="center"/>
            <w:textDirection w:val="lrTb"/>
            <w:noWrap w:val="false"/>
          </w:tcPr>
          <w:p>
            <w:pPr>
              <w:pStyle w:val="934"/>
              <w:ind w:firstLine="0"/>
              <w:jc w:val="left"/>
              <w:rPr>
                <w:rFonts w:hAnsi="宋体"/>
                <w:sz w:val="24"/>
                <w:szCs w:val="24"/>
              </w:rPr>
            </w:pPr>
            <w:r>
              <w:rPr>
                <w:rFonts w:hAnsi="宋体"/>
                <w:sz w:val="24"/>
                <w:szCs w:val="24"/>
              </w:rPr>
              <w:t xml:space="preserve">mm</w:t>
            </w:r>
            <w:r/>
          </w:p>
        </w:tc>
        <w:tc>
          <w:tcPr>
            <w:tcW w:w="3257" w:type="dxa"/>
            <w:vAlign w:val="center"/>
            <w:textDirection w:val="lrTb"/>
            <w:noWrap w:val="false"/>
          </w:tcPr>
          <w:p>
            <w:pPr>
              <w:pStyle w:val="934"/>
              <w:ind w:firstLine="0"/>
              <w:jc w:val="left"/>
              <w:rPr>
                <w:rFonts w:hAnsi="宋体"/>
                <w:sz w:val="24"/>
                <w:szCs w:val="24"/>
              </w:rPr>
            </w:pPr>
            <w:r>
              <w:rPr>
                <w:rFonts w:hint="eastAsia" w:hAnsi="宋体"/>
                <w:sz w:val="24"/>
                <w:szCs w:val="24"/>
                <w:lang w:val="en-US" w:eastAsia="zh-CN"/>
              </w:rPr>
              <w:t xml:space="preserve">≥</w:t>
            </w:r>
            <w:r>
              <w:rPr>
                <w:rFonts w:hAnsi="宋体"/>
                <w:sz w:val="24"/>
                <w:szCs w:val="24"/>
              </w:rPr>
              <w:t xml:space="preserve">6670×2290×4950</w:t>
            </w:r>
            <w:r/>
          </w:p>
        </w:tc>
      </w:tr>
      <w:tr>
        <w:trPr>
          <w:jc w:val="center"/>
          <w:trHeight w:val="0"/>
        </w:trPr>
        <w:tc>
          <w:tcPr>
            <w:tcW w:w="5578" w:type="dxa"/>
            <w:vAlign w:val="center"/>
            <w:textDirection w:val="lrTb"/>
            <w:noWrap w:val="false"/>
          </w:tcPr>
          <w:p>
            <w:pPr>
              <w:pStyle w:val="934"/>
              <w:ind w:firstLine="0"/>
              <w:jc w:val="left"/>
              <w:rPr>
                <w:rFonts w:hAnsi="宋体" w:cs="Times New Roman"/>
                <w:b/>
                <w:sz w:val="24"/>
                <w:szCs w:val="24"/>
              </w:rPr>
            </w:pPr>
            <w:r>
              <w:rPr>
                <w:rFonts w:hint="eastAsia" w:ascii="宋体" w:hAnsi="宋体" w:eastAsia="宋体" w:cs="宋体"/>
                <w:b/>
                <w:sz w:val="24"/>
                <w:szCs w:val="24"/>
                <w:highlight w:val="yellow"/>
                <w:lang w:val="en-US" w:eastAsia="zh-CN"/>
              </w:rPr>
              <w:t xml:space="preserve">▲</w:t>
            </w:r>
            <w:r>
              <w:rPr>
                <w:rFonts w:hint="eastAsia" w:hAnsi="宋体"/>
                <w:b/>
                <w:color w:val="000000"/>
                <w:sz w:val="24"/>
                <w:szCs w:val="24"/>
              </w:rPr>
              <w:t xml:space="preserve">配套发动机额定功率</w:t>
            </w:r>
            <w:r/>
          </w:p>
        </w:tc>
        <w:tc>
          <w:tcPr>
            <w:tcW w:w="1119" w:type="dxa"/>
            <w:vAlign w:val="center"/>
            <w:textDirection w:val="lrTb"/>
            <w:noWrap w:val="false"/>
          </w:tcPr>
          <w:p>
            <w:pPr>
              <w:pStyle w:val="934"/>
              <w:ind w:firstLine="0"/>
              <w:jc w:val="left"/>
              <w:rPr>
                <w:rFonts w:hAnsi="宋体" w:cs="Times New Roman"/>
                <w:sz w:val="24"/>
                <w:szCs w:val="24"/>
              </w:rPr>
            </w:pPr>
            <w:r>
              <w:rPr>
                <w:rFonts w:hAnsi="宋体"/>
                <w:sz w:val="24"/>
                <w:szCs w:val="24"/>
              </w:rPr>
              <w:t xml:space="preserve">kW</w:t>
            </w:r>
            <w:r>
              <w:rPr>
                <w:rFonts w:hAnsi="宋体"/>
                <w:spacing w:val="-10"/>
                <w:sz w:val="24"/>
                <w:szCs w:val="24"/>
              </w:rPr>
              <w:t xml:space="preserve"> </w:t>
            </w:r>
            <w:r/>
          </w:p>
        </w:tc>
        <w:tc>
          <w:tcPr>
            <w:tcW w:w="3257" w:type="dxa"/>
            <w:vAlign w:val="center"/>
            <w:textDirection w:val="lrTb"/>
            <w:noWrap w:val="false"/>
          </w:tcPr>
          <w:p>
            <w:pPr>
              <w:pStyle w:val="934"/>
              <w:ind w:firstLine="0"/>
              <w:jc w:val="left"/>
              <w:rPr>
                <w:rFonts w:hAnsi="宋体" w:cs="Times New Roman"/>
                <w:sz w:val="24"/>
                <w:szCs w:val="24"/>
              </w:rPr>
            </w:pPr>
            <w:r>
              <w:rPr>
                <w:rFonts w:hint="eastAsia" w:hAnsi="宋体"/>
                <w:sz w:val="24"/>
                <w:szCs w:val="24"/>
                <w:lang w:val="en-US" w:eastAsia="zh-CN"/>
              </w:rPr>
              <w:t xml:space="preserve">≥</w:t>
            </w:r>
            <w:r>
              <w:rPr>
                <w:rFonts w:hint="eastAsia" w:hAnsi="宋体" w:cs="Times New Roman"/>
                <w:sz w:val="24"/>
                <w:szCs w:val="24"/>
              </w:rPr>
              <w:t xml:space="preserve">177</w:t>
            </w:r>
            <w:r/>
          </w:p>
        </w:tc>
      </w:tr>
      <w:tr>
        <w:trPr>
          <w:jc w:val="center"/>
          <w:trHeight w:val="0"/>
        </w:trPr>
        <w:tc>
          <w:tcPr>
            <w:tcW w:w="5578" w:type="dxa"/>
            <w:vAlign w:val="center"/>
            <w:textDirection w:val="lrTb"/>
            <w:noWrap w:val="false"/>
          </w:tcPr>
          <w:p>
            <w:pPr>
              <w:pStyle w:val="934"/>
              <w:ind w:firstLine="0"/>
              <w:jc w:val="left"/>
              <w:rPr>
                <w:rFonts w:hAnsi="宋体" w:cs="Times New Roman"/>
                <w:b/>
                <w:color w:val="000000"/>
                <w:sz w:val="24"/>
                <w:szCs w:val="24"/>
              </w:rPr>
            </w:pPr>
            <w:r>
              <w:rPr>
                <w:rFonts w:hint="eastAsia" w:ascii="宋体" w:hAnsi="宋体" w:eastAsia="宋体" w:cs="宋体"/>
                <w:b/>
                <w:sz w:val="24"/>
                <w:szCs w:val="24"/>
                <w:highlight w:val="yellow"/>
                <w:lang w:val="en-US" w:eastAsia="zh-CN"/>
              </w:rPr>
              <w:t xml:space="preserve">▲</w:t>
            </w:r>
            <w:r>
              <w:rPr>
                <w:rFonts w:hint="eastAsia" w:hAnsi="宋体"/>
                <w:b/>
                <w:color w:val="000000"/>
                <w:sz w:val="24"/>
                <w:szCs w:val="24"/>
              </w:rPr>
              <w:t xml:space="preserve">配套发动机</w:t>
            </w:r>
            <w:r>
              <w:rPr>
                <w:rFonts w:hint="eastAsia" w:hAnsi="宋体"/>
                <w:b/>
                <w:color w:val="000000"/>
                <w:spacing w:val="-10"/>
                <w:sz w:val="24"/>
                <w:szCs w:val="24"/>
              </w:rPr>
              <w:t xml:space="preserve">额</w:t>
            </w:r>
            <w:r>
              <w:rPr>
                <w:rFonts w:hint="eastAsia" w:hAnsi="宋体"/>
                <w:b/>
                <w:color w:val="000000"/>
                <w:sz w:val="24"/>
                <w:szCs w:val="24"/>
              </w:rPr>
              <w:t xml:space="preserve">定转速</w:t>
            </w:r>
            <w:r/>
          </w:p>
        </w:tc>
        <w:tc>
          <w:tcPr>
            <w:tcW w:w="1119" w:type="dxa"/>
            <w:vAlign w:val="center"/>
            <w:textDirection w:val="lrTb"/>
            <w:noWrap w:val="false"/>
          </w:tcPr>
          <w:p>
            <w:pPr>
              <w:pStyle w:val="934"/>
              <w:ind w:firstLine="0"/>
              <w:jc w:val="left"/>
              <w:rPr>
                <w:rFonts w:hint="default" w:hAnsi="宋体" w:eastAsia="宋体" w:cs="Times New Roman"/>
                <w:spacing w:val="-10"/>
                <w:sz w:val="24"/>
                <w:szCs w:val="24"/>
                <w:lang w:val="en-US" w:eastAsia="zh-CN"/>
              </w:rPr>
            </w:pPr>
            <w:r>
              <w:rPr>
                <w:rFonts w:hint="eastAsia" w:hAnsi="宋体" w:cs="Times New Roman"/>
                <w:spacing w:val="-10"/>
                <w:sz w:val="24"/>
                <w:szCs w:val="24"/>
                <w:lang w:val="en-US" w:eastAsia="zh-CN"/>
              </w:rPr>
              <w:t xml:space="preserve">r/min</w:t>
            </w:r>
            <w:r/>
          </w:p>
        </w:tc>
        <w:tc>
          <w:tcPr>
            <w:tcW w:w="3257" w:type="dxa"/>
            <w:vAlign w:val="center"/>
            <w:textDirection w:val="lrTb"/>
            <w:noWrap w:val="false"/>
          </w:tcPr>
          <w:p>
            <w:pPr>
              <w:pStyle w:val="934"/>
              <w:ind w:firstLine="0"/>
              <w:jc w:val="left"/>
              <w:rPr>
                <w:rFonts w:hAnsi="宋体" w:cs="Times New Roman"/>
                <w:sz w:val="24"/>
                <w:szCs w:val="24"/>
              </w:rPr>
            </w:pPr>
            <w:r>
              <w:rPr>
                <w:rFonts w:hint="eastAsia" w:hAnsi="宋体" w:cs="Times New Roman"/>
                <w:sz w:val="24"/>
                <w:szCs w:val="24"/>
              </w:rPr>
              <w:t xml:space="preserve">2200</w:t>
            </w:r>
            <w:r/>
          </w:p>
        </w:tc>
      </w:tr>
      <w:tr>
        <w:trPr>
          <w:jc w:val="center"/>
          <w:trHeight w:val="0"/>
        </w:trPr>
        <w:tc>
          <w:tcPr>
            <w:tcW w:w="5578" w:type="dxa"/>
            <w:vAlign w:val="center"/>
            <w:textDirection w:val="lrTb"/>
            <w:noWrap w:val="false"/>
          </w:tcPr>
          <w:p>
            <w:pPr>
              <w:pStyle w:val="934"/>
              <w:ind w:firstLine="0"/>
              <w:jc w:val="left"/>
              <w:rPr>
                <w:rFonts w:hAnsi="宋体" w:cs="Times New Roman"/>
                <w:b/>
                <w:sz w:val="24"/>
                <w:szCs w:val="24"/>
              </w:rPr>
            </w:pPr>
            <w:r>
              <w:rPr>
                <w:rFonts w:hint="eastAsia" w:ascii="宋体" w:hAnsi="宋体" w:eastAsia="宋体" w:cs="宋体"/>
                <w:b/>
                <w:sz w:val="24"/>
                <w:szCs w:val="24"/>
                <w:highlight w:val="yellow"/>
                <w:lang w:val="en-US" w:eastAsia="zh-CN"/>
              </w:rPr>
              <w:t xml:space="preserve">▲</w:t>
            </w:r>
            <w:r>
              <w:rPr>
                <w:rFonts w:hint="eastAsia" w:hAnsi="宋体"/>
                <w:b/>
                <w:sz w:val="24"/>
                <w:szCs w:val="24"/>
              </w:rPr>
              <w:t xml:space="preserve">割幅</w:t>
            </w:r>
            <w:r/>
          </w:p>
        </w:tc>
        <w:tc>
          <w:tcPr>
            <w:tcW w:w="1119" w:type="dxa"/>
            <w:vAlign w:val="center"/>
            <w:textDirection w:val="lrTb"/>
            <w:noWrap w:val="false"/>
          </w:tcPr>
          <w:p>
            <w:pPr>
              <w:jc w:val="left"/>
              <w:rPr>
                <w:rFonts w:ascii="宋体"/>
                <w:spacing w:val="20"/>
                <w:sz w:val="24"/>
                <w:szCs w:val="24"/>
              </w:rPr>
            </w:pPr>
            <w:r>
              <w:rPr>
                <w:rFonts w:ascii="宋体" w:hAnsi="宋体" w:cs="宋体"/>
                <w:spacing w:val="20"/>
                <w:sz w:val="24"/>
                <w:szCs w:val="24"/>
              </w:rPr>
              <w:t xml:space="preserve">mm</w:t>
            </w:r>
            <w:r/>
          </w:p>
        </w:tc>
        <w:tc>
          <w:tcPr>
            <w:tcW w:w="3257" w:type="dxa"/>
            <w:vAlign w:val="center"/>
            <w:textDirection w:val="lrTb"/>
            <w:noWrap w:val="false"/>
          </w:tcPr>
          <w:p>
            <w:pPr>
              <w:pStyle w:val="934"/>
              <w:ind w:firstLine="0"/>
              <w:jc w:val="left"/>
              <w:rPr>
                <w:rFonts w:hAnsi="宋体" w:cs="Times New Roman"/>
                <w:sz w:val="24"/>
                <w:szCs w:val="24"/>
              </w:rPr>
            </w:pPr>
            <w:r>
              <w:rPr>
                <w:rFonts w:hint="eastAsia" w:hAnsi="宋体"/>
                <w:sz w:val="24"/>
                <w:szCs w:val="24"/>
                <w:lang w:val="en-US" w:eastAsia="zh-CN"/>
              </w:rPr>
              <w:t xml:space="preserve">≥</w:t>
            </w:r>
            <w:r>
              <w:rPr>
                <w:rFonts w:hint="eastAsia" w:hAnsi="宋体" w:cs="Times New Roman"/>
                <w:sz w:val="24"/>
                <w:szCs w:val="24"/>
              </w:rPr>
              <w:t xml:space="preserve">20</w:t>
            </w:r>
            <w:r>
              <w:rPr>
                <w:rFonts w:hAnsi="宋体" w:cs="Times New Roman"/>
                <w:sz w:val="24"/>
                <w:szCs w:val="24"/>
              </w:rPr>
              <w:t xml:space="preserve">8</w:t>
            </w:r>
            <w:r>
              <w:rPr>
                <w:rFonts w:hint="eastAsia" w:hAnsi="宋体" w:cs="Times New Roman"/>
                <w:sz w:val="24"/>
                <w:szCs w:val="24"/>
              </w:rPr>
              <w:t xml:space="preserve">0</w:t>
            </w:r>
            <w:r/>
          </w:p>
        </w:tc>
      </w:tr>
      <w:tr>
        <w:trPr>
          <w:jc w:val="center"/>
          <w:trHeight w:val="0"/>
        </w:trPr>
        <w:tc>
          <w:tcPr>
            <w:tcW w:w="5578" w:type="dxa"/>
            <w:vAlign w:val="center"/>
            <w:textDirection w:val="lrTb"/>
            <w:noWrap w:val="false"/>
          </w:tcPr>
          <w:p>
            <w:pPr>
              <w:jc w:val="left"/>
              <w:rPr>
                <w:rFonts w:ascii="宋体"/>
                <w:b/>
                <w:sz w:val="24"/>
                <w:szCs w:val="24"/>
              </w:rPr>
            </w:pPr>
            <w:r>
              <w:rPr>
                <w:rFonts w:hint="eastAsia" w:hAnsi="宋体" w:cs="宋体"/>
                <w:b/>
                <w:color w:val="000000"/>
                <w:sz w:val="24"/>
                <w:szCs w:val="24"/>
              </w:rPr>
              <w:t xml:space="preserve">作物收集割台型式</w:t>
            </w:r>
            <w:r/>
          </w:p>
        </w:tc>
        <w:tc>
          <w:tcPr>
            <w:tcW w:w="1119" w:type="dxa"/>
            <w:vAlign w:val="center"/>
            <w:textDirection w:val="lrTb"/>
            <w:noWrap w:val="false"/>
          </w:tcPr>
          <w:p>
            <w:pPr>
              <w:jc w:val="left"/>
              <w:rPr>
                <w:rFonts w:ascii="宋体"/>
                <w:spacing w:val="20"/>
                <w:sz w:val="24"/>
                <w:szCs w:val="24"/>
              </w:rPr>
            </w:pPr>
            <w:r>
              <w:rPr>
                <w:rFonts w:ascii="宋体" w:hAnsi="宋体" w:cs="宋体"/>
                <w:spacing w:val="20"/>
                <w:sz w:val="24"/>
                <w:szCs w:val="24"/>
              </w:rPr>
              <w:t xml:space="preserve">/</w:t>
            </w:r>
            <w:r/>
          </w:p>
        </w:tc>
        <w:tc>
          <w:tcPr>
            <w:tcW w:w="3257" w:type="dxa"/>
            <w:vAlign w:val="center"/>
            <w:textDirection w:val="lrTb"/>
            <w:noWrap w:val="false"/>
          </w:tcPr>
          <w:p>
            <w:pPr>
              <w:pStyle w:val="934"/>
              <w:ind w:firstLine="0"/>
              <w:jc w:val="left"/>
              <w:rPr>
                <w:rFonts w:hAnsi="宋体" w:cs="Times New Roman"/>
                <w:sz w:val="24"/>
                <w:szCs w:val="24"/>
              </w:rPr>
            </w:pPr>
            <w:r>
              <w:rPr>
                <w:rFonts w:hint="eastAsia" w:hAnsi="宋体"/>
                <w:color w:val="000000"/>
                <w:sz w:val="24"/>
                <w:szCs w:val="24"/>
              </w:rPr>
              <w:t xml:space="preserve">直切割台</w:t>
            </w:r>
            <w:r/>
          </w:p>
        </w:tc>
      </w:tr>
      <w:tr>
        <w:trPr>
          <w:jc w:val="center"/>
          <w:trHeight w:val="0"/>
        </w:trPr>
        <w:tc>
          <w:tcPr>
            <w:tcW w:w="5578" w:type="dxa"/>
            <w:vAlign w:val="center"/>
            <w:textDirection w:val="lrTb"/>
            <w:noWrap w:val="false"/>
          </w:tcPr>
          <w:p>
            <w:pPr>
              <w:jc w:val="left"/>
              <w:rPr>
                <w:rFonts w:ascii="宋体"/>
                <w:b/>
                <w:color w:val="000000"/>
                <w:sz w:val="24"/>
                <w:szCs w:val="24"/>
              </w:rPr>
            </w:pPr>
            <w:r>
              <w:rPr>
                <w:rFonts w:hint="eastAsia" w:ascii="宋体" w:hAnsi="宋体" w:cs="宋体"/>
                <w:b/>
                <w:sz w:val="24"/>
                <w:szCs w:val="24"/>
              </w:rPr>
              <w:t xml:space="preserve">割台切割器型式</w:t>
            </w:r>
            <w:r/>
          </w:p>
        </w:tc>
        <w:tc>
          <w:tcPr>
            <w:tcW w:w="1119" w:type="dxa"/>
            <w:vAlign w:val="center"/>
            <w:textDirection w:val="lrTb"/>
            <w:noWrap w:val="false"/>
          </w:tcPr>
          <w:p>
            <w:pPr>
              <w:jc w:val="left"/>
              <w:rPr>
                <w:rFonts w:ascii="宋体"/>
                <w:spacing w:val="20"/>
                <w:sz w:val="24"/>
                <w:szCs w:val="24"/>
              </w:rPr>
            </w:pPr>
            <w:r>
              <w:rPr>
                <w:rFonts w:ascii="宋体" w:hAnsi="宋体" w:cs="宋体"/>
                <w:spacing w:val="20"/>
                <w:sz w:val="24"/>
                <w:szCs w:val="24"/>
              </w:rPr>
              <w:t xml:space="preserve">/</w:t>
            </w:r>
            <w:r/>
          </w:p>
        </w:tc>
        <w:tc>
          <w:tcPr>
            <w:tcW w:w="3257" w:type="dxa"/>
            <w:vAlign w:val="center"/>
            <w:textDirection w:val="lrTb"/>
            <w:noWrap w:val="false"/>
          </w:tcPr>
          <w:p>
            <w:pPr>
              <w:pStyle w:val="934"/>
              <w:ind w:firstLine="0"/>
              <w:jc w:val="left"/>
              <w:rPr>
                <w:rFonts w:hAnsi="宋体" w:cs="Times New Roman"/>
                <w:sz w:val="24"/>
                <w:szCs w:val="24"/>
              </w:rPr>
            </w:pPr>
            <w:r>
              <w:rPr>
                <w:rFonts w:hint="eastAsia" w:hAnsi="宋体"/>
                <w:sz w:val="24"/>
                <w:szCs w:val="24"/>
              </w:rPr>
              <w:t xml:space="preserve">圆盘式割刀</w:t>
            </w:r>
            <w:r/>
          </w:p>
        </w:tc>
      </w:tr>
      <w:tr>
        <w:trPr>
          <w:jc w:val="center"/>
          <w:trHeight w:val="0"/>
        </w:trPr>
        <w:tc>
          <w:tcPr>
            <w:tcW w:w="5578" w:type="dxa"/>
            <w:vAlign w:val="center"/>
            <w:textDirection w:val="lrTb"/>
            <w:noWrap w:val="false"/>
          </w:tcPr>
          <w:p>
            <w:pPr>
              <w:pStyle w:val="934"/>
              <w:ind w:firstLine="0"/>
              <w:widowControl w:val="off"/>
              <w:rPr>
                <w:rFonts w:hAnsi="宋体" w:cs="Times New Roman"/>
                <w:b/>
                <w:color w:val="000000"/>
                <w:sz w:val="24"/>
                <w:szCs w:val="24"/>
              </w:rPr>
            </w:pPr>
            <w:r>
              <w:rPr>
                <w:rFonts w:hint="eastAsia" w:hAnsi="宋体"/>
                <w:b/>
                <w:color w:val="000000"/>
                <w:sz w:val="24"/>
                <w:szCs w:val="24"/>
              </w:rPr>
              <w:t xml:space="preserve">喂入机构型式</w:t>
            </w:r>
            <w:r/>
          </w:p>
        </w:tc>
        <w:tc>
          <w:tcPr>
            <w:tcW w:w="1119" w:type="dxa"/>
            <w:vAlign w:val="center"/>
            <w:textDirection w:val="lrTb"/>
            <w:noWrap w:val="false"/>
          </w:tcPr>
          <w:p>
            <w:pPr>
              <w:jc w:val="left"/>
              <w:rPr>
                <w:rFonts w:ascii="宋体"/>
                <w:spacing w:val="20"/>
                <w:sz w:val="24"/>
                <w:szCs w:val="24"/>
              </w:rPr>
            </w:pPr>
            <w:r>
              <w:rPr>
                <w:rFonts w:ascii="宋体" w:hAnsi="宋体" w:cs="宋体"/>
                <w:spacing w:val="20"/>
                <w:sz w:val="24"/>
                <w:szCs w:val="24"/>
              </w:rPr>
              <w:t xml:space="preserve">/</w:t>
            </w:r>
            <w:r/>
          </w:p>
        </w:tc>
        <w:tc>
          <w:tcPr>
            <w:tcW w:w="3257" w:type="dxa"/>
            <w:vAlign w:val="center"/>
            <w:textDirection w:val="lrTb"/>
            <w:noWrap w:val="false"/>
          </w:tcPr>
          <w:p>
            <w:pPr>
              <w:pStyle w:val="934"/>
              <w:ind w:firstLine="0"/>
              <w:jc w:val="left"/>
              <w:rPr>
                <w:rFonts w:hAnsi="宋体" w:cs="Times New Roman"/>
                <w:sz w:val="24"/>
                <w:szCs w:val="24"/>
              </w:rPr>
            </w:pPr>
            <w:r>
              <w:rPr>
                <w:rFonts w:hint="eastAsia" w:hAnsi="宋体"/>
                <w:sz w:val="24"/>
                <w:szCs w:val="24"/>
              </w:rPr>
              <w:t xml:space="preserve">喂入辊</w:t>
            </w:r>
            <w:r/>
          </w:p>
        </w:tc>
      </w:tr>
      <w:tr>
        <w:trPr>
          <w:jc w:val="center"/>
          <w:trHeight w:val="0"/>
        </w:trPr>
        <w:tc>
          <w:tcPr>
            <w:tcW w:w="5578" w:type="dxa"/>
            <w:vAlign w:val="center"/>
            <w:textDirection w:val="lrTb"/>
            <w:noWrap w:val="false"/>
          </w:tcPr>
          <w:p>
            <w:pPr>
              <w:pStyle w:val="934"/>
              <w:ind w:firstLine="0"/>
              <w:widowControl w:val="off"/>
              <w:rPr>
                <w:rFonts w:hAnsi="宋体" w:cs="Times New Roman"/>
                <w:b/>
                <w:color w:val="000000"/>
                <w:sz w:val="24"/>
                <w:szCs w:val="24"/>
              </w:rPr>
            </w:pPr>
            <w:r>
              <w:rPr>
                <w:rFonts w:hint="eastAsia" w:hAnsi="宋体"/>
                <w:b/>
                <w:color w:val="000000"/>
                <w:sz w:val="24"/>
                <w:szCs w:val="24"/>
              </w:rPr>
              <w:t xml:space="preserve">喂入机构数量</w:t>
            </w:r>
            <w:r/>
          </w:p>
        </w:tc>
        <w:tc>
          <w:tcPr>
            <w:tcW w:w="1119" w:type="dxa"/>
            <w:vAlign w:val="center"/>
            <w:textDirection w:val="lrTb"/>
            <w:noWrap w:val="false"/>
          </w:tcPr>
          <w:p>
            <w:pPr>
              <w:jc w:val="left"/>
              <w:rPr>
                <w:rFonts w:ascii="宋体"/>
                <w:spacing w:val="20"/>
                <w:sz w:val="24"/>
                <w:szCs w:val="24"/>
              </w:rPr>
            </w:pPr>
            <w:r>
              <w:rPr>
                <w:rFonts w:ascii="宋体" w:hAnsi="宋体" w:cs="宋体"/>
                <w:spacing w:val="20"/>
                <w:sz w:val="24"/>
                <w:szCs w:val="24"/>
              </w:rPr>
              <w:t xml:space="preserve">/</w:t>
            </w:r>
            <w:r/>
          </w:p>
        </w:tc>
        <w:tc>
          <w:tcPr>
            <w:tcW w:w="3257" w:type="dxa"/>
            <w:vAlign w:val="center"/>
            <w:textDirection w:val="lrTb"/>
            <w:noWrap w:val="false"/>
          </w:tcPr>
          <w:p>
            <w:pPr>
              <w:pStyle w:val="934"/>
              <w:ind w:firstLine="0"/>
              <w:jc w:val="left"/>
              <w:rPr>
                <w:rFonts w:hAnsi="宋体" w:cs="Times New Roman"/>
                <w:sz w:val="24"/>
                <w:szCs w:val="24"/>
              </w:rPr>
            </w:pPr>
            <w:r>
              <w:rPr>
                <w:rFonts w:hint="eastAsia" w:hAnsi="宋体" w:cs="Times New Roman"/>
                <w:sz w:val="24"/>
                <w:szCs w:val="24"/>
              </w:rPr>
              <w:t xml:space="preserve">5</w:t>
            </w:r>
            <w:r/>
          </w:p>
        </w:tc>
      </w:tr>
      <w:tr>
        <w:trPr>
          <w:jc w:val="center"/>
          <w:trHeight w:val="0"/>
        </w:trPr>
        <w:tc>
          <w:tcPr>
            <w:tcW w:w="5578" w:type="dxa"/>
            <w:vAlign w:val="center"/>
            <w:textDirection w:val="lrTb"/>
            <w:noWrap w:val="false"/>
          </w:tcPr>
          <w:p>
            <w:pPr>
              <w:rPr>
                <w:rFonts w:ascii="宋体" w:cs="宋体"/>
                <w:b/>
                <w:color w:val="000000"/>
                <w:sz w:val="24"/>
                <w:szCs w:val="24"/>
              </w:rPr>
            </w:pPr>
            <w:r>
              <w:rPr>
                <w:rFonts w:hint="eastAsia" w:ascii="宋体" w:hAnsi="宋体" w:cs="宋体"/>
                <w:b/>
                <w:color w:val="000000"/>
                <w:sz w:val="24"/>
                <w:szCs w:val="24"/>
              </w:rPr>
              <w:t xml:space="preserve">秸秆切碎机构型式</w:t>
            </w:r>
            <w:r/>
          </w:p>
        </w:tc>
        <w:tc>
          <w:tcPr>
            <w:tcW w:w="1119" w:type="dxa"/>
            <w:vAlign w:val="center"/>
            <w:textDirection w:val="lrTb"/>
            <w:noWrap w:val="false"/>
          </w:tcPr>
          <w:p>
            <w:pPr>
              <w:jc w:val="left"/>
              <w:rPr>
                <w:rFonts w:ascii="宋体"/>
                <w:spacing w:val="20"/>
                <w:sz w:val="24"/>
                <w:szCs w:val="24"/>
              </w:rPr>
            </w:pPr>
            <w:r>
              <w:rPr>
                <w:rFonts w:ascii="宋体" w:hAnsi="宋体" w:cs="宋体"/>
                <w:spacing w:val="20"/>
                <w:sz w:val="24"/>
                <w:szCs w:val="24"/>
              </w:rPr>
              <w:t xml:space="preserve">/</w:t>
            </w:r>
            <w:r/>
          </w:p>
        </w:tc>
        <w:tc>
          <w:tcPr>
            <w:tcW w:w="3257" w:type="dxa"/>
            <w:vAlign w:val="center"/>
            <w:textDirection w:val="lrTb"/>
            <w:noWrap w:val="false"/>
          </w:tcPr>
          <w:p>
            <w:pPr>
              <w:pStyle w:val="934"/>
              <w:ind w:firstLine="0"/>
              <w:jc w:val="left"/>
              <w:rPr>
                <w:rFonts w:hAnsi="宋体" w:cs="Times New Roman"/>
                <w:sz w:val="24"/>
                <w:szCs w:val="24"/>
              </w:rPr>
            </w:pPr>
            <w:r>
              <w:rPr>
                <w:rFonts w:hint="eastAsia" w:hAnsi="宋体"/>
                <w:sz w:val="24"/>
                <w:szCs w:val="24"/>
              </w:rPr>
              <w:t xml:space="preserve">滚筒式</w:t>
            </w:r>
            <w:r/>
          </w:p>
        </w:tc>
      </w:tr>
      <w:tr>
        <w:trPr>
          <w:jc w:val="center"/>
          <w:trHeight w:val="0"/>
        </w:trPr>
        <w:tc>
          <w:tcPr>
            <w:tcW w:w="5578" w:type="dxa"/>
            <w:vAlign w:val="center"/>
            <w:textDirection w:val="lrTb"/>
            <w:noWrap w:val="false"/>
          </w:tcPr>
          <w:p>
            <w:pPr>
              <w:rPr>
                <w:rFonts w:ascii="宋体" w:cs="宋体"/>
                <w:b/>
                <w:color w:val="000000"/>
                <w:sz w:val="24"/>
                <w:szCs w:val="24"/>
              </w:rPr>
            </w:pPr>
            <w:r>
              <w:rPr>
                <w:rFonts w:hint="eastAsia" w:ascii="宋体" w:hAnsi="宋体" w:cs="宋体"/>
                <w:b/>
                <w:sz w:val="24"/>
                <w:szCs w:val="24"/>
              </w:rPr>
              <w:t xml:space="preserve">籽粒破碎机构型式</w:t>
            </w:r>
            <w:r/>
          </w:p>
        </w:tc>
        <w:tc>
          <w:tcPr>
            <w:tcW w:w="1119" w:type="dxa"/>
            <w:vAlign w:val="center"/>
            <w:textDirection w:val="lrTb"/>
            <w:noWrap w:val="false"/>
          </w:tcPr>
          <w:p>
            <w:pPr>
              <w:jc w:val="left"/>
              <w:rPr>
                <w:rFonts w:ascii="宋体" w:hAnsi="宋体" w:cs="宋体"/>
                <w:spacing w:val="20"/>
                <w:sz w:val="24"/>
                <w:szCs w:val="24"/>
              </w:rPr>
            </w:pPr>
            <w:r>
              <w:rPr>
                <w:rFonts w:ascii="宋体" w:hAnsi="宋体" w:cs="宋体"/>
                <w:spacing w:val="20"/>
                <w:sz w:val="24"/>
                <w:szCs w:val="24"/>
              </w:rPr>
              <w:t xml:space="preserve">/</w:t>
            </w:r>
            <w:r/>
          </w:p>
        </w:tc>
        <w:tc>
          <w:tcPr>
            <w:tcW w:w="3257" w:type="dxa"/>
            <w:vAlign w:val="center"/>
            <w:textDirection w:val="lrTb"/>
            <w:noWrap w:val="false"/>
          </w:tcPr>
          <w:p>
            <w:pPr>
              <w:pStyle w:val="934"/>
              <w:ind w:firstLine="0"/>
              <w:jc w:val="left"/>
              <w:rPr>
                <w:rFonts w:hAnsi="宋体" w:cs="Times New Roman"/>
                <w:sz w:val="24"/>
                <w:szCs w:val="24"/>
              </w:rPr>
            </w:pPr>
            <w:r>
              <w:rPr>
                <w:rFonts w:hint="eastAsia" w:hAnsi="宋体"/>
                <w:sz w:val="24"/>
                <w:szCs w:val="24"/>
              </w:rPr>
              <w:t xml:space="preserve">对辊式</w:t>
            </w:r>
            <w:r/>
          </w:p>
        </w:tc>
      </w:tr>
      <w:tr>
        <w:trPr>
          <w:jc w:val="center"/>
          <w:trHeight w:val="0"/>
        </w:trPr>
        <w:tc>
          <w:tcPr>
            <w:tcW w:w="5578" w:type="dxa"/>
            <w:vAlign w:val="center"/>
            <w:textDirection w:val="lrTb"/>
            <w:noWrap w:val="false"/>
          </w:tcPr>
          <w:p>
            <w:pPr>
              <w:rPr>
                <w:rFonts w:ascii="宋体" w:cs="宋体"/>
                <w:b/>
                <w:color w:val="000000"/>
                <w:sz w:val="24"/>
                <w:szCs w:val="24"/>
              </w:rPr>
            </w:pPr>
            <w:r>
              <w:rPr>
                <w:rFonts w:hint="eastAsia" w:ascii="宋体" w:hAnsi="宋体" w:eastAsia="宋体" w:cs="宋体"/>
                <w:b/>
                <w:sz w:val="24"/>
                <w:szCs w:val="24"/>
                <w:highlight w:val="yellow"/>
                <w:lang w:val="en-US" w:eastAsia="zh-CN"/>
              </w:rPr>
              <w:t xml:space="preserve">▲</w:t>
            </w:r>
            <w:r>
              <w:rPr>
                <w:rFonts w:hint="eastAsia" w:ascii="宋体" w:hAnsi="宋体" w:cs="宋体"/>
                <w:b/>
                <w:color w:val="000000"/>
                <w:sz w:val="24"/>
                <w:szCs w:val="24"/>
              </w:rPr>
              <w:t xml:space="preserve">驾驶室型式</w:t>
            </w:r>
            <w:r>
              <w:rPr>
                <w:rFonts w:ascii="宋体" w:hAnsi="宋体" w:cs="宋体"/>
                <w:b/>
                <w:sz w:val="24"/>
                <w:szCs w:val="24"/>
              </w:rPr>
              <w:t xml:space="preserve">(</w:t>
            </w:r>
            <w:r>
              <w:rPr>
                <w:rFonts w:hint="eastAsia" w:ascii="宋体" w:hAnsi="宋体" w:cs="宋体"/>
                <w:b/>
                <w:sz w:val="24"/>
                <w:szCs w:val="24"/>
              </w:rPr>
              <w:t xml:space="preserve">自走式）</w:t>
            </w:r>
            <w:r/>
          </w:p>
        </w:tc>
        <w:tc>
          <w:tcPr>
            <w:tcW w:w="1119" w:type="dxa"/>
            <w:vAlign w:val="center"/>
            <w:textDirection w:val="lrTb"/>
            <w:noWrap w:val="false"/>
          </w:tcPr>
          <w:p>
            <w:pPr>
              <w:jc w:val="left"/>
              <w:rPr>
                <w:rFonts w:ascii="宋体" w:cs="宋体"/>
                <w:spacing w:val="20"/>
                <w:sz w:val="24"/>
                <w:szCs w:val="24"/>
              </w:rPr>
            </w:pPr>
            <w:r>
              <w:rPr>
                <w:rFonts w:ascii="宋体" w:hAnsi="宋体" w:cs="宋体"/>
                <w:spacing w:val="-10"/>
                <w:sz w:val="24"/>
                <w:szCs w:val="24"/>
              </w:rPr>
              <w:t xml:space="preserve">/</w:t>
            </w:r>
            <w:r/>
          </w:p>
        </w:tc>
        <w:tc>
          <w:tcPr>
            <w:tcW w:w="3257" w:type="dxa"/>
            <w:vAlign w:val="center"/>
            <w:textDirection w:val="lrTb"/>
            <w:noWrap w:val="false"/>
          </w:tcPr>
          <w:p>
            <w:pPr>
              <w:pStyle w:val="934"/>
              <w:ind w:firstLine="0"/>
              <w:jc w:val="left"/>
              <w:rPr>
                <w:rFonts w:hAnsi="宋体" w:cs="Times New Roman"/>
                <w:sz w:val="24"/>
                <w:szCs w:val="24"/>
              </w:rPr>
            </w:pPr>
            <w:r>
              <w:rPr>
                <w:rFonts w:hint="eastAsia" w:hAnsi="宋体" w:cs="Times New Roman"/>
                <w:sz w:val="24"/>
                <w:szCs w:val="24"/>
              </w:rPr>
              <w:t xml:space="preserve">空调驾驶室</w:t>
            </w:r>
            <w:r/>
          </w:p>
        </w:tc>
      </w:tr>
      <w:tr>
        <w:trPr>
          <w:jc w:val="center"/>
          <w:trHeight w:val="0"/>
        </w:trPr>
        <w:tc>
          <w:tcPr>
            <w:tcW w:w="5578" w:type="dxa"/>
            <w:vAlign w:val="center"/>
            <w:textDirection w:val="lrTb"/>
            <w:noWrap w:val="false"/>
          </w:tcPr>
          <w:p>
            <w:pPr>
              <w:rPr>
                <w:rFonts w:ascii="宋体" w:cs="宋体"/>
                <w:b/>
                <w:color w:val="000000"/>
                <w:sz w:val="24"/>
                <w:szCs w:val="24"/>
              </w:rPr>
            </w:pPr>
            <w:r>
              <w:rPr>
                <w:rFonts w:hint="eastAsia" w:ascii="宋体" w:hAnsi="宋体" w:cs="宋体"/>
                <w:b/>
                <w:sz w:val="24"/>
                <w:szCs w:val="24"/>
              </w:rPr>
              <w:t xml:space="preserve">驱动方式</w:t>
            </w:r>
            <w:r>
              <w:rPr>
                <w:rFonts w:ascii="宋体" w:hAnsi="宋体" w:cs="宋体"/>
                <w:b/>
                <w:sz w:val="24"/>
                <w:szCs w:val="24"/>
              </w:rPr>
              <w:t xml:space="preserve">(</w:t>
            </w:r>
            <w:r>
              <w:rPr>
                <w:rFonts w:hint="eastAsia" w:ascii="宋体" w:hAnsi="宋体" w:cs="宋体"/>
                <w:b/>
                <w:sz w:val="24"/>
                <w:szCs w:val="24"/>
              </w:rPr>
              <w:t xml:space="preserve">自走式）</w:t>
            </w:r>
            <w:r/>
          </w:p>
        </w:tc>
        <w:tc>
          <w:tcPr>
            <w:tcW w:w="1119" w:type="dxa"/>
            <w:vAlign w:val="center"/>
            <w:textDirection w:val="lrTb"/>
            <w:noWrap w:val="false"/>
          </w:tcPr>
          <w:p>
            <w:pPr>
              <w:jc w:val="left"/>
              <w:rPr>
                <w:rFonts w:ascii="宋体" w:cs="宋体"/>
                <w:spacing w:val="20"/>
                <w:sz w:val="24"/>
                <w:szCs w:val="24"/>
              </w:rPr>
            </w:pPr>
            <w:r>
              <w:rPr>
                <w:rFonts w:ascii="宋体" w:hAnsi="宋体" w:cs="宋体"/>
                <w:spacing w:val="-10"/>
                <w:sz w:val="24"/>
                <w:szCs w:val="24"/>
              </w:rPr>
              <w:t xml:space="preserve">/</w:t>
            </w:r>
            <w:r/>
          </w:p>
        </w:tc>
        <w:tc>
          <w:tcPr>
            <w:tcW w:w="3257" w:type="dxa"/>
            <w:vAlign w:val="center"/>
            <w:textDirection w:val="lrTb"/>
            <w:noWrap w:val="false"/>
          </w:tcPr>
          <w:p>
            <w:pPr>
              <w:pStyle w:val="934"/>
              <w:ind w:firstLine="0"/>
              <w:jc w:val="left"/>
              <w:rPr>
                <w:rFonts w:hAnsi="宋体" w:cs="Times New Roman"/>
                <w:sz w:val="24"/>
                <w:szCs w:val="24"/>
              </w:rPr>
            </w:pPr>
            <w:r>
              <w:rPr>
                <w:rFonts w:hint="eastAsia" w:hAnsi="宋体"/>
                <w:sz w:val="24"/>
                <w:szCs w:val="24"/>
              </w:rPr>
              <w:t xml:space="preserve">液压驱动</w:t>
            </w:r>
            <w:r/>
          </w:p>
        </w:tc>
      </w:tr>
      <w:tr>
        <w:trPr>
          <w:jc w:val="center"/>
          <w:trHeight w:val="0"/>
        </w:trPr>
        <w:tc>
          <w:tcPr>
            <w:tcW w:w="5578" w:type="dxa"/>
            <w:vAlign w:val="center"/>
            <w:textDirection w:val="lrTb"/>
            <w:noWrap w:val="false"/>
          </w:tcPr>
          <w:p>
            <w:pPr>
              <w:rPr>
                <w:rFonts w:ascii="宋体" w:cs="宋体"/>
                <w:b/>
                <w:color w:val="000000"/>
                <w:sz w:val="24"/>
                <w:szCs w:val="24"/>
              </w:rPr>
            </w:pPr>
            <w:r>
              <w:rPr>
                <w:rFonts w:hint="eastAsia" w:ascii="宋体" w:hAnsi="宋体" w:cs="宋体"/>
                <w:b/>
                <w:sz w:val="24"/>
                <w:szCs w:val="24"/>
              </w:rPr>
              <w:t xml:space="preserve">制动器型式</w:t>
            </w:r>
            <w:r>
              <w:rPr>
                <w:rFonts w:ascii="宋体" w:hAnsi="宋体" w:cs="宋体"/>
                <w:b/>
                <w:sz w:val="24"/>
                <w:szCs w:val="24"/>
              </w:rPr>
              <w:t xml:space="preserve">(</w:t>
            </w:r>
            <w:r>
              <w:rPr>
                <w:rFonts w:hint="eastAsia" w:ascii="宋体" w:hAnsi="宋体" w:cs="宋体"/>
                <w:b/>
                <w:sz w:val="24"/>
                <w:szCs w:val="24"/>
              </w:rPr>
              <w:t xml:space="preserve">自走式）</w:t>
            </w:r>
            <w:r/>
          </w:p>
        </w:tc>
        <w:tc>
          <w:tcPr>
            <w:tcW w:w="1119" w:type="dxa"/>
            <w:vAlign w:val="center"/>
            <w:textDirection w:val="lrTb"/>
            <w:noWrap w:val="false"/>
          </w:tcPr>
          <w:p>
            <w:pPr>
              <w:jc w:val="left"/>
              <w:rPr>
                <w:rFonts w:ascii="宋体" w:cs="宋体"/>
                <w:spacing w:val="20"/>
                <w:sz w:val="24"/>
                <w:szCs w:val="24"/>
              </w:rPr>
            </w:pPr>
            <w:r>
              <w:rPr>
                <w:rFonts w:ascii="宋体" w:hAnsi="宋体" w:cs="宋体"/>
                <w:spacing w:val="-10"/>
                <w:sz w:val="24"/>
                <w:szCs w:val="24"/>
              </w:rPr>
              <w:t xml:space="preserve">/</w:t>
            </w:r>
            <w:r/>
          </w:p>
        </w:tc>
        <w:tc>
          <w:tcPr>
            <w:tcW w:w="3257" w:type="dxa"/>
            <w:vAlign w:val="center"/>
            <w:textDirection w:val="lrTb"/>
            <w:noWrap w:val="false"/>
          </w:tcPr>
          <w:p>
            <w:pPr>
              <w:pStyle w:val="934"/>
              <w:ind w:firstLine="0"/>
              <w:jc w:val="left"/>
              <w:rPr>
                <w:rFonts w:hAnsi="宋体" w:cs="Times New Roman"/>
                <w:sz w:val="24"/>
                <w:szCs w:val="24"/>
              </w:rPr>
            </w:pPr>
            <w:r>
              <w:rPr>
                <w:rFonts w:hint="eastAsia" w:hAnsi="宋体"/>
                <w:sz w:val="24"/>
                <w:szCs w:val="24"/>
              </w:rPr>
              <w:t xml:space="preserve">盘式</w:t>
            </w:r>
            <w:r/>
          </w:p>
        </w:tc>
      </w:tr>
      <w:tr>
        <w:trPr>
          <w:jc w:val="center"/>
          <w:trHeight w:val="0"/>
        </w:trPr>
        <w:tc>
          <w:tcPr>
            <w:tcW w:w="5578" w:type="dxa"/>
            <w:vAlign w:val="center"/>
            <w:textDirection w:val="lrTb"/>
            <w:noWrap w:val="false"/>
          </w:tcPr>
          <w:p>
            <w:pPr>
              <w:jc w:val="left"/>
              <w:rPr>
                <w:rFonts w:ascii="宋体" w:cs="宋体"/>
                <w:b/>
                <w:sz w:val="24"/>
                <w:szCs w:val="24"/>
              </w:rPr>
            </w:pPr>
            <w:r>
              <w:rPr>
                <w:rFonts w:hint="eastAsia" w:ascii="宋体" w:hAnsi="宋体" w:eastAsia="宋体" w:cs="宋体"/>
                <w:b/>
                <w:sz w:val="24"/>
                <w:szCs w:val="24"/>
                <w:highlight w:val="yellow"/>
                <w:lang w:val="en-US" w:eastAsia="zh-CN"/>
              </w:rPr>
              <w:t xml:space="preserve">▲</w:t>
            </w:r>
            <w:r>
              <w:rPr>
                <w:rFonts w:hint="eastAsia" w:ascii="宋体" w:hAnsi="宋体" w:cs="宋体"/>
                <w:b/>
                <w:color w:val="000000"/>
                <w:sz w:val="24"/>
                <w:szCs w:val="24"/>
              </w:rPr>
              <w:t xml:space="preserve">导向轮</w:t>
            </w:r>
            <w:r>
              <w:rPr>
                <w:rFonts w:hint="eastAsia" w:ascii="宋体" w:hAnsi="宋体" w:cs="宋体"/>
                <w:b/>
                <w:color w:val="ff0000"/>
                <w:sz w:val="24"/>
                <w:szCs w:val="24"/>
              </w:rPr>
              <w:t xml:space="preserve">轮</w:t>
            </w:r>
            <w:r>
              <w:rPr>
                <w:rFonts w:hint="eastAsia" w:ascii="宋体" w:hAnsi="宋体" w:cs="宋体"/>
                <w:b/>
                <w:color w:val="000000"/>
                <w:sz w:val="24"/>
                <w:szCs w:val="24"/>
              </w:rPr>
              <w:t xml:space="preserve">距</w:t>
            </w:r>
            <w:r>
              <w:rPr>
                <w:rFonts w:hint="eastAsia" w:ascii="宋体" w:hAnsi="宋体" w:cs="宋体"/>
                <w:b/>
                <w:sz w:val="24"/>
                <w:szCs w:val="24"/>
              </w:rPr>
              <w:t xml:space="preserve">（自走式）</w:t>
            </w:r>
            <w:r/>
          </w:p>
        </w:tc>
        <w:tc>
          <w:tcPr>
            <w:tcW w:w="1119" w:type="dxa"/>
            <w:vAlign w:val="center"/>
            <w:textDirection w:val="lrTb"/>
            <w:noWrap w:val="false"/>
          </w:tcPr>
          <w:p>
            <w:pPr>
              <w:jc w:val="left"/>
              <w:rPr>
                <w:rFonts w:ascii="宋体" w:hAnsi="宋体" w:cs="宋体"/>
                <w:spacing w:val="20"/>
                <w:sz w:val="24"/>
                <w:szCs w:val="24"/>
              </w:rPr>
            </w:pPr>
            <w:r>
              <w:rPr>
                <w:rFonts w:ascii="宋体" w:hAnsi="宋体" w:cs="宋体"/>
                <w:spacing w:val="20"/>
                <w:sz w:val="24"/>
                <w:szCs w:val="24"/>
              </w:rPr>
              <w:t xml:space="preserve">mm</w:t>
            </w:r>
            <w:r/>
          </w:p>
        </w:tc>
        <w:tc>
          <w:tcPr>
            <w:tcW w:w="3257" w:type="dxa"/>
            <w:vAlign w:val="center"/>
            <w:textDirection w:val="lrTb"/>
            <w:noWrap w:val="false"/>
          </w:tcPr>
          <w:p>
            <w:pPr>
              <w:pStyle w:val="934"/>
              <w:ind w:firstLine="0"/>
              <w:jc w:val="left"/>
              <w:rPr>
                <w:rFonts w:hAnsi="宋体" w:cs="Times New Roman"/>
                <w:sz w:val="24"/>
                <w:szCs w:val="24"/>
              </w:rPr>
            </w:pPr>
            <w:r>
              <w:rPr>
                <w:rFonts w:hint="eastAsia" w:hAnsi="宋体"/>
                <w:sz w:val="24"/>
                <w:szCs w:val="24"/>
                <w:lang w:val="en-US" w:eastAsia="zh-CN"/>
              </w:rPr>
              <w:t xml:space="preserve">≥</w:t>
            </w:r>
            <w:r>
              <w:rPr>
                <w:rFonts w:hAnsi="宋体"/>
                <w:sz w:val="24"/>
                <w:szCs w:val="24"/>
              </w:rPr>
              <w:t xml:space="preserve">1700</w:t>
            </w:r>
            <w:r/>
          </w:p>
        </w:tc>
      </w:tr>
      <w:tr>
        <w:trPr>
          <w:jc w:val="center"/>
          <w:trHeight w:val="0"/>
        </w:trPr>
        <w:tc>
          <w:tcPr>
            <w:tcW w:w="5578" w:type="dxa"/>
            <w:vAlign w:val="center"/>
            <w:textDirection w:val="lrTb"/>
            <w:noWrap w:val="false"/>
          </w:tcPr>
          <w:p>
            <w:pPr>
              <w:jc w:val="left"/>
              <w:rPr>
                <w:rFonts w:ascii="宋体" w:cs="宋体"/>
                <w:b/>
                <w:sz w:val="24"/>
                <w:szCs w:val="24"/>
              </w:rPr>
            </w:pPr>
            <w:r>
              <w:rPr>
                <w:rFonts w:hint="eastAsia" w:ascii="宋体" w:hAnsi="宋体" w:cs="宋体"/>
                <w:b/>
                <w:color w:val="000000"/>
                <w:sz w:val="24"/>
                <w:szCs w:val="24"/>
              </w:rPr>
              <w:t xml:space="preserve">导向轮轮胎规格</w:t>
            </w:r>
            <w:r>
              <w:rPr>
                <w:rFonts w:hint="eastAsia" w:ascii="宋体" w:hAnsi="宋体" w:cs="宋体"/>
                <w:b/>
                <w:sz w:val="24"/>
                <w:szCs w:val="24"/>
              </w:rPr>
              <w:t xml:space="preserve">（自走式）</w:t>
            </w:r>
            <w:r/>
          </w:p>
        </w:tc>
        <w:tc>
          <w:tcPr>
            <w:tcW w:w="1119" w:type="dxa"/>
            <w:vAlign w:val="center"/>
            <w:textDirection w:val="lrTb"/>
            <w:noWrap w:val="false"/>
          </w:tcPr>
          <w:p>
            <w:pPr>
              <w:jc w:val="left"/>
              <w:rPr>
                <w:rFonts w:ascii="宋体" w:cs="宋体"/>
                <w:spacing w:val="20"/>
                <w:sz w:val="24"/>
                <w:szCs w:val="24"/>
              </w:rPr>
            </w:pPr>
            <w:r>
              <w:rPr>
                <w:rFonts w:ascii="宋体" w:hAnsi="宋体" w:cs="宋体"/>
                <w:spacing w:val="-10"/>
                <w:sz w:val="24"/>
                <w:szCs w:val="24"/>
              </w:rPr>
              <w:t xml:space="preserve">/</w:t>
            </w:r>
            <w:r/>
          </w:p>
        </w:tc>
        <w:tc>
          <w:tcPr>
            <w:tcW w:w="3257" w:type="dxa"/>
            <w:vAlign w:val="center"/>
            <w:textDirection w:val="lrTb"/>
            <w:noWrap w:val="false"/>
          </w:tcPr>
          <w:p>
            <w:pPr>
              <w:pStyle w:val="934"/>
              <w:ind w:firstLine="0"/>
              <w:jc w:val="left"/>
              <w:rPr>
                <w:rFonts w:hAnsi="宋体" w:cs="Times New Roman"/>
                <w:sz w:val="24"/>
                <w:szCs w:val="24"/>
              </w:rPr>
            </w:pPr>
            <w:r>
              <w:rPr>
                <w:rFonts w:hAnsi="宋体"/>
                <w:sz w:val="24"/>
                <w:szCs w:val="24"/>
              </w:rPr>
              <w:t xml:space="preserve">10/75-15.3</w:t>
            </w:r>
            <w:r/>
          </w:p>
        </w:tc>
      </w:tr>
      <w:tr>
        <w:trPr>
          <w:jc w:val="center"/>
          <w:trHeight w:val="0"/>
        </w:trPr>
        <w:tc>
          <w:tcPr>
            <w:tcW w:w="5578" w:type="dxa"/>
            <w:vAlign w:val="center"/>
            <w:textDirection w:val="lrTb"/>
            <w:noWrap w:val="false"/>
          </w:tcPr>
          <w:p>
            <w:pPr>
              <w:jc w:val="left"/>
              <w:rPr>
                <w:rFonts w:ascii="宋体" w:cs="宋体"/>
                <w:b/>
                <w:sz w:val="24"/>
                <w:szCs w:val="24"/>
              </w:rPr>
            </w:pPr>
            <w:r>
              <w:rPr>
                <w:rFonts w:hint="eastAsia" w:ascii="宋体" w:hAnsi="宋体" w:eastAsia="宋体" w:cs="宋体"/>
                <w:b/>
                <w:sz w:val="24"/>
                <w:szCs w:val="24"/>
                <w:highlight w:val="yellow"/>
                <w:lang w:val="en-US" w:eastAsia="zh-CN"/>
              </w:rPr>
              <w:t xml:space="preserve">▲</w:t>
            </w:r>
            <w:r>
              <w:rPr>
                <w:rFonts w:hint="eastAsia" w:ascii="宋体" w:hAnsi="宋体" w:cs="宋体"/>
                <w:b/>
                <w:color w:val="000000"/>
                <w:sz w:val="24"/>
                <w:szCs w:val="24"/>
              </w:rPr>
              <w:t xml:space="preserve">驱</w:t>
            </w:r>
            <w:r>
              <w:rPr>
                <w:rFonts w:hint="eastAsia" w:ascii="宋体" w:hAnsi="宋体" w:cs="宋体"/>
                <w:b/>
                <w:color w:val="ff0000"/>
                <w:sz w:val="24"/>
                <w:szCs w:val="24"/>
              </w:rPr>
              <w:t xml:space="preserve">动轮轮</w:t>
            </w:r>
            <w:r>
              <w:rPr>
                <w:rFonts w:hint="eastAsia" w:ascii="宋体" w:hAnsi="宋体" w:cs="宋体"/>
                <w:b/>
                <w:color w:val="000000"/>
                <w:sz w:val="24"/>
                <w:szCs w:val="24"/>
              </w:rPr>
              <w:t xml:space="preserve">距</w:t>
            </w:r>
            <w:r>
              <w:rPr>
                <w:rFonts w:hint="eastAsia" w:ascii="宋体" w:hAnsi="宋体" w:cs="宋体"/>
                <w:b/>
                <w:sz w:val="24"/>
                <w:szCs w:val="24"/>
              </w:rPr>
              <w:t xml:space="preserve">（自走式）</w:t>
            </w:r>
            <w:r/>
          </w:p>
        </w:tc>
        <w:tc>
          <w:tcPr>
            <w:tcW w:w="1119" w:type="dxa"/>
            <w:vAlign w:val="center"/>
            <w:textDirection w:val="lrTb"/>
            <w:noWrap w:val="false"/>
          </w:tcPr>
          <w:p>
            <w:pPr>
              <w:jc w:val="left"/>
              <w:rPr>
                <w:rFonts w:ascii="宋体" w:hAnsi="宋体" w:cs="宋体"/>
                <w:spacing w:val="20"/>
                <w:sz w:val="24"/>
                <w:szCs w:val="24"/>
              </w:rPr>
            </w:pPr>
            <w:r>
              <w:rPr>
                <w:rFonts w:ascii="宋体" w:hAnsi="宋体" w:cs="宋体"/>
                <w:spacing w:val="20"/>
                <w:sz w:val="24"/>
                <w:szCs w:val="24"/>
              </w:rPr>
              <w:t xml:space="preserve">mm</w:t>
            </w:r>
            <w:r/>
          </w:p>
        </w:tc>
        <w:tc>
          <w:tcPr>
            <w:tcW w:w="3257" w:type="dxa"/>
            <w:vAlign w:val="center"/>
            <w:textDirection w:val="lrTb"/>
            <w:noWrap w:val="false"/>
          </w:tcPr>
          <w:p>
            <w:pPr>
              <w:pStyle w:val="934"/>
              <w:ind w:firstLine="0"/>
              <w:jc w:val="left"/>
              <w:rPr>
                <w:rFonts w:hAnsi="宋体" w:cs="Times New Roman"/>
                <w:sz w:val="24"/>
                <w:szCs w:val="24"/>
              </w:rPr>
            </w:pPr>
            <w:r>
              <w:rPr>
                <w:rFonts w:hint="eastAsia" w:hAnsi="宋体"/>
                <w:sz w:val="24"/>
                <w:szCs w:val="24"/>
                <w:lang w:val="en-US" w:eastAsia="zh-CN"/>
              </w:rPr>
              <w:t xml:space="preserve">≥</w:t>
            </w:r>
            <w:r>
              <w:rPr>
                <w:rFonts w:hAnsi="宋体"/>
                <w:sz w:val="24"/>
                <w:szCs w:val="24"/>
              </w:rPr>
              <w:t xml:space="preserve">1670</w:t>
            </w:r>
            <w:r/>
          </w:p>
        </w:tc>
      </w:tr>
      <w:tr>
        <w:trPr>
          <w:jc w:val="center"/>
          <w:trHeight w:val="0"/>
        </w:trPr>
        <w:tc>
          <w:tcPr>
            <w:tcW w:w="5578" w:type="dxa"/>
            <w:vAlign w:val="center"/>
            <w:textDirection w:val="lrTb"/>
            <w:noWrap w:val="false"/>
          </w:tcPr>
          <w:p>
            <w:pPr>
              <w:jc w:val="left"/>
              <w:rPr>
                <w:rFonts w:ascii="宋体"/>
                <w:b/>
                <w:sz w:val="24"/>
                <w:szCs w:val="24"/>
              </w:rPr>
            </w:pPr>
            <w:r>
              <w:rPr>
                <w:rFonts w:hint="eastAsia" w:hAnsi="宋体" w:cs="宋体"/>
                <w:b/>
                <w:color w:val="000000"/>
                <w:sz w:val="24"/>
                <w:szCs w:val="24"/>
              </w:rPr>
              <w:t xml:space="preserve">驱动轮轮胎规格</w:t>
            </w:r>
            <w:r>
              <w:rPr>
                <w:rFonts w:hint="eastAsia" w:ascii="宋体" w:hAnsi="宋体" w:cs="宋体"/>
                <w:b/>
                <w:sz w:val="24"/>
                <w:szCs w:val="24"/>
              </w:rPr>
              <w:t xml:space="preserve">（自走式）</w:t>
            </w:r>
            <w:r/>
          </w:p>
        </w:tc>
        <w:tc>
          <w:tcPr>
            <w:tcW w:w="1119" w:type="dxa"/>
            <w:vAlign w:val="center"/>
            <w:textDirection w:val="lrTb"/>
            <w:noWrap w:val="false"/>
          </w:tcPr>
          <w:p>
            <w:pPr>
              <w:jc w:val="left"/>
              <w:rPr>
                <w:rFonts w:ascii="宋体" w:cs="宋体"/>
                <w:spacing w:val="20"/>
                <w:sz w:val="24"/>
                <w:szCs w:val="24"/>
              </w:rPr>
            </w:pPr>
            <w:r>
              <w:rPr>
                <w:rFonts w:ascii="宋体" w:hAnsi="宋体" w:cs="宋体"/>
                <w:spacing w:val="-10"/>
                <w:sz w:val="24"/>
                <w:szCs w:val="24"/>
              </w:rPr>
              <w:t xml:space="preserve">/</w:t>
            </w:r>
            <w:r/>
          </w:p>
        </w:tc>
        <w:tc>
          <w:tcPr>
            <w:tcW w:w="3257" w:type="dxa"/>
            <w:vAlign w:val="center"/>
            <w:textDirection w:val="lrTb"/>
            <w:noWrap w:val="false"/>
          </w:tcPr>
          <w:p>
            <w:pPr>
              <w:pStyle w:val="934"/>
              <w:ind w:firstLine="0"/>
              <w:jc w:val="left"/>
              <w:rPr>
                <w:rFonts w:hAnsi="宋体" w:cs="Times New Roman"/>
                <w:sz w:val="24"/>
                <w:szCs w:val="24"/>
              </w:rPr>
            </w:pPr>
            <w:r>
              <w:rPr>
                <w:rFonts w:hAnsi="宋体"/>
                <w:sz w:val="24"/>
                <w:szCs w:val="24"/>
              </w:rPr>
              <w:t xml:space="preserve">15-24</w:t>
            </w:r>
            <w:r/>
          </w:p>
        </w:tc>
      </w:tr>
      <w:tr>
        <w:trPr>
          <w:jc w:val="center"/>
          <w:trHeight w:val="0"/>
        </w:trPr>
        <w:tc>
          <w:tcPr>
            <w:tcW w:w="5578" w:type="dxa"/>
            <w:vAlign w:val="center"/>
            <w:textDirection w:val="lrTb"/>
            <w:noWrap w:val="false"/>
          </w:tcPr>
          <w:p>
            <w:pPr>
              <w:pStyle w:val="934"/>
              <w:ind w:firstLine="0"/>
              <w:jc w:val="left"/>
              <w:rPr>
                <w:rFonts w:hAnsi="宋体" w:cs="Times New Roman"/>
                <w:b/>
                <w:i/>
                <w:iCs/>
                <w:sz w:val="24"/>
                <w:szCs w:val="24"/>
              </w:rPr>
            </w:pPr>
            <w:r>
              <w:rPr>
                <w:rFonts w:hint="eastAsia" w:hAnsi="宋体"/>
                <w:b/>
                <w:color w:val="000000"/>
                <w:sz w:val="24"/>
                <w:szCs w:val="24"/>
              </w:rPr>
              <w:t xml:space="preserve">履带宽度</w:t>
            </w:r>
            <w:r>
              <w:rPr>
                <w:rFonts w:hAnsi="宋体"/>
                <w:b/>
                <w:sz w:val="24"/>
                <w:szCs w:val="24"/>
              </w:rPr>
              <w:t xml:space="preserve">(</w:t>
            </w:r>
            <w:r>
              <w:rPr>
                <w:rFonts w:hint="eastAsia" w:hAnsi="宋体"/>
                <w:b/>
                <w:sz w:val="24"/>
                <w:szCs w:val="24"/>
              </w:rPr>
              <w:t xml:space="preserve">自走式）</w:t>
            </w:r>
            <w:r/>
          </w:p>
        </w:tc>
        <w:tc>
          <w:tcPr>
            <w:tcW w:w="1119" w:type="dxa"/>
            <w:vAlign w:val="center"/>
            <w:textDirection w:val="lrTb"/>
            <w:noWrap w:val="false"/>
          </w:tcPr>
          <w:p>
            <w:pPr>
              <w:pStyle w:val="934"/>
              <w:ind w:firstLine="0"/>
              <w:jc w:val="left"/>
              <w:rPr>
                <w:rFonts w:hAnsi="宋体" w:cs="Times New Roman"/>
                <w:sz w:val="24"/>
                <w:szCs w:val="24"/>
              </w:rPr>
            </w:pPr>
            <w:r>
              <w:rPr>
                <w:rFonts w:hAnsi="宋体"/>
                <w:spacing w:val="20"/>
                <w:sz w:val="24"/>
                <w:szCs w:val="24"/>
              </w:rPr>
              <w:t xml:space="preserve">mm</w:t>
            </w:r>
            <w:r/>
          </w:p>
        </w:tc>
        <w:tc>
          <w:tcPr>
            <w:tcW w:w="3257" w:type="dxa"/>
            <w:vAlign w:val="center"/>
            <w:textDirection w:val="lrTb"/>
            <w:noWrap w:val="false"/>
          </w:tcPr>
          <w:p>
            <w:pPr>
              <w:pStyle w:val="934"/>
              <w:ind w:firstLine="0"/>
              <w:jc w:val="left"/>
              <w:rPr>
                <w:rFonts w:hAnsi="宋体" w:cs="Times New Roman"/>
                <w:sz w:val="24"/>
                <w:szCs w:val="24"/>
              </w:rPr>
            </w:pPr>
            <w:r>
              <w:rPr>
                <w:rFonts w:hint="eastAsia" w:hAnsi="宋体" w:cs="Times New Roman"/>
                <w:sz w:val="24"/>
                <w:szCs w:val="24"/>
              </w:rPr>
              <w:t xml:space="preserve">/</w:t>
            </w:r>
            <w:r/>
          </w:p>
        </w:tc>
      </w:tr>
      <w:tr>
        <w:trPr>
          <w:jc w:val="center"/>
          <w:trHeight w:val="0"/>
        </w:trPr>
        <w:tc>
          <w:tcPr>
            <w:tcW w:w="5578" w:type="dxa"/>
            <w:vAlign w:val="center"/>
            <w:textDirection w:val="lrTb"/>
            <w:noWrap w:val="false"/>
          </w:tcPr>
          <w:p>
            <w:pPr>
              <w:pStyle w:val="934"/>
              <w:ind w:firstLine="0"/>
              <w:jc w:val="left"/>
              <w:rPr>
                <w:rFonts w:hAnsi="宋体" w:cs="Times New Roman"/>
                <w:b/>
                <w:sz w:val="24"/>
                <w:szCs w:val="24"/>
              </w:rPr>
            </w:pPr>
            <w:r>
              <w:rPr>
                <w:rFonts w:hint="eastAsia" w:hAnsi="宋体"/>
                <w:b/>
                <w:color w:val="000000"/>
                <w:sz w:val="24"/>
                <w:szCs w:val="24"/>
              </w:rPr>
              <w:t xml:space="preserve">履带接地长</w:t>
            </w:r>
            <w:r>
              <w:rPr>
                <w:rFonts w:hAnsi="宋体"/>
                <w:b/>
                <w:sz w:val="24"/>
                <w:szCs w:val="24"/>
              </w:rPr>
              <w:t xml:space="preserve">(</w:t>
            </w:r>
            <w:r>
              <w:rPr>
                <w:rFonts w:hint="eastAsia" w:hAnsi="宋体"/>
                <w:b/>
                <w:sz w:val="24"/>
                <w:szCs w:val="24"/>
              </w:rPr>
              <w:t xml:space="preserve">自走式）</w:t>
            </w:r>
            <w:r/>
          </w:p>
        </w:tc>
        <w:tc>
          <w:tcPr>
            <w:tcW w:w="1119" w:type="dxa"/>
            <w:textDirection w:val="lrTb"/>
            <w:noWrap w:val="false"/>
          </w:tcPr>
          <w:p>
            <w:pPr>
              <w:pStyle w:val="934"/>
              <w:ind w:firstLine="0"/>
              <w:jc w:val="left"/>
              <w:rPr>
                <w:rFonts w:hAnsi="宋体"/>
                <w:spacing w:val="20"/>
                <w:sz w:val="24"/>
                <w:szCs w:val="24"/>
              </w:rPr>
            </w:pPr>
            <w:r>
              <w:rPr>
                <w:rFonts w:hAnsi="宋体"/>
                <w:spacing w:val="20"/>
                <w:sz w:val="24"/>
                <w:szCs w:val="24"/>
              </w:rPr>
              <w:t xml:space="preserve">mm</w:t>
            </w:r>
            <w:r/>
          </w:p>
        </w:tc>
        <w:tc>
          <w:tcPr>
            <w:tcW w:w="3257" w:type="dxa"/>
            <w:vAlign w:val="center"/>
            <w:textDirection w:val="lrTb"/>
            <w:noWrap w:val="false"/>
          </w:tcPr>
          <w:p>
            <w:pPr>
              <w:pStyle w:val="934"/>
              <w:ind w:firstLine="0"/>
              <w:jc w:val="left"/>
              <w:rPr>
                <w:rFonts w:hAnsi="宋体" w:cs="Times New Roman"/>
                <w:sz w:val="24"/>
                <w:szCs w:val="24"/>
              </w:rPr>
            </w:pPr>
            <w:r>
              <w:rPr>
                <w:rFonts w:hint="eastAsia" w:hAnsi="宋体" w:cs="Times New Roman"/>
                <w:sz w:val="24"/>
                <w:szCs w:val="24"/>
              </w:rPr>
              <w:t xml:space="preserve">/</w:t>
            </w:r>
            <w:r/>
          </w:p>
        </w:tc>
      </w:tr>
      <w:tr>
        <w:trPr>
          <w:jc w:val="center"/>
          <w:trHeight w:val="0"/>
        </w:trPr>
        <w:tc>
          <w:tcPr>
            <w:tcW w:w="5578" w:type="dxa"/>
            <w:vAlign w:val="center"/>
            <w:textDirection w:val="lrTb"/>
            <w:noWrap w:val="false"/>
          </w:tcPr>
          <w:p>
            <w:pPr>
              <w:pStyle w:val="934"/>
              <w:ind w:firstLine="0"/>
              <w:jc w:val="left"/>
              <w:rPr>
                <w:rFonts w:hAnsi="宋体" w:cs="Times New Roman"/>
                <w:b/>
                <w:sz w:val="24"/>
                <w:szCs w:val="24"/>
              </w:rPr>
            </w:pPr>
            <w:r>
              <w:rPr>
                <w:rFonts w:hint="eastAsia" w:hAnsi="宋体"/>
                <w:b/>
                <w:color w:val="000000"/>
                <w:sz w:val="24"/>
                <w:szCs w:val="24"/>
              </w:rPr>
              <w:t xml:space="preserve">轨距</w:t>
            </w:r>
            <w:r>
              <w:rPr>
                <w:rFonts w:hAnsi="宋体"/>
                <w:b/>
                <w:sz w:val="24"/>
                <w:szCs w:val="24"/>
              </w:rPr>
              <w:t xml:space="preserve">(</w:t>
            </w:r>
            <w:r>
              <w:rPr>
                <w:rFonts w:hint="eastAsia" w:hAnsi="宋体"/>
                <w:b/>
                <w:sz w:val="24"/>
                <w:szCs w:val="24"/>
              </w:rPr>
              <w:t xml:space="preserve">自走式）</w:t>
            </w:r>
            <w:r/>
          </w:p>
        </w:tc>
        <w:tc>
          <w:tcPr>
            <w:tcW w:w="1119" w:type="dxa"/>
            <w:textDirection w:val="lrTb"/>
            <w:noWrap w:val="false"/>
          </w:tcPr>
          <w:p>
            <w:pPr>
              <w:pStyle w:val="934"/>
              <w:ind w:firstLine="0"/>
              <w:jc w:val="left"/>
              <w:rPr>
                <w:rFonts w:hAnsi="宋体"/>
                <w:spacing w:val="20"/>
                <w:sz w:val="24"/>
                <w:szCs w:val="24"/>
              </w:rPr>
            </w:pPr>
            <w:r>
              <w:rPr>
                <w:rFonts w:hAnsi="宋体"/>
                <w:spacing w:val="20"/>
                <w:sz w:val="24"/>
                <w:szCs w:val="24"/>
              </w:rPr>
              <w:t xml:space="preserve">mm</w:t>
            </w:r>
            <w:r/>
          </w:p>
        </w:tc>
        <w:tc>
          <w:tcPr>
            <w:tcW w:w="3257" w:type="dxa"/>
            <w:vAlign w:val="center"/>
            <w:textDirection w:val="lrTb"/>
            <w:noWrap w:val="false"/>
          </w:tcPr>
          <w:p>
            <w:pPr>
              <w:pStyle w:val="934"/>
              <w:ind w:firstLine="0"/>
              <w:jc w:val="left"/>
              <w:rPr>
                <w:rFonts w:hAnsi="宋体" w:cs="Times New Roman"/>
                <w:sz w:val="24"/>
                <w:szCs w:val="24"/>
              </w:rPr>
            </w:pPr>
            <w:r>
              <w:rPr>
                <w:rFonts w:hint="eastAsia" w:hAnsi="宋体" w:cs="Times New Roman"/>
                <w:sz w:val="24"/>
                <w:szCs w:val="24"/>
              </w:rPr>
              <w:t xml:space="preserve">/</w:t>
            </w:r>
            <w:r/>
          </w:p>
        </w:tc>
      </w:tr>
      <w:tr>
        <w:trPr>
          <w:jc w:val="center"/>
          <w:trHeight w:val="0"/>
        </w:trPr>
        <w:tc>
          <w:tcPr>
            <w:tcW w:w="5578" w:type="dxa"/>
            <w:vAlign w:val="center"/>
            <w:textDirection w:val="lrTb"/>
            <w:noWrap w:val="false"/>
          </w:tcPr>
          <w:p>
            <w:pPr>
              <w:pStyle w:val="934"/>
              <w:ind w:firstLine="0"/>
              <w:jc w:val="left"/>
              <w:rPr>
                <w:rFonts w:hAnsi="宋体" w:cs="Times New Roman"/>
                <w:b/>
                <w:sz w:val="24"/>
                <w:szCs w:val="24"/>
              </w:rPr>
            </w:pPr>
            <w:r>
              <w:rPr>
                <w:rFonts w:hint="eastAsia" w:hAnsi="宋体"/>
                <w:b/>
                <w:sz w:val="24"/>
                <w:szCs w:val="24"/>
              </w:rPr>
              <w:t xml:space="preserve">轴距</w:t>
            </w:r>
            <w:r>
              <w:rPr>
                <w:rFonts w:hAnsi="宋体"/>
                <w:b/>
                <w:sz w:val="24"/>
                <w:szCs w:val="24"/>
              </w:rPr>
              <w:t xml:space="preserve">(</w:t>
            </w:r>
            <w:r>
              <w:rPr>
                <w:rFonts w:hint="eastAsia" w:hAnsi="宋体"/>
                <w:b/>
                <w:sz w:val="24"/>
                <w:szCs w:val="24"/>
              </w:rPr>
              <w:t xml:space="preserve">自走式）</w:t>
            </w:r>
            <w:r/>
          </w:p>
        </w:tc>
        <w:tc>
          <w:tcPr>
            <w:tcW w:w="1119" w:type="dxa"/>
            <w:vAlign w:val="center"/>
            <w:textDirection w:val="lrTb"/>
            <w:noWrap w:val="false"/>
          </w:tcPr>
          <w:p>
            <w:pPr>
              <w:pStyle w:val="934"/>
              <w:ind w:firstLine="0"/>
              <w:jc w:val="left"/>
              <w:rPr>
                <w:rFonts w:hAnsi="宋体"/>
                <w:spacing w:val="20"/>
                <w:sz w:val="24"/>
                <w:szCs w:val="24"/>
              </w:rPr>
            </w:pPr>
            <w:r>
              <w:rPr>
                <w:rFonts w:hAnsi="宋体"/>
                <w:spacing w:val="20"/>
                <w:sz w:val="24"/>
                <w:szCs w:val="24"/>
              </w:rPr>
              <w:t xml:space="preserve">mm</w:t>
            </w:r>
            <w:r/>
          </w:p>
        </w:tc>
        <w:tc>
          <w:tcPr>
            <w:tcW w:w="3257" w:type="dxa"/>
            <w:vAlign w:val="center"/>
            <w:textDirection w:val="lrTb"/>
            <w:noWrap w:val="false"/>
          </w:tcPr>
          <w:p>
            <w:pPr>
              <w:pStyle w:val="934"/>
              <w:ind w:firstLine="0"/>
              <w:jc w:val="left"/>
              <w:rPr>
                <w:rFonts w:hAnsi="宋体" w:cs="Times New Roman"/>
                <w:sz w:val="24"/>
                <w:szCs w:val="24"/>
              </w:rPr>
            </w:pPr>
            <w:r>
              <w:rPr>
                <w:rFonts w:hAnsi="宋体"/>
                <w:sz w:val="24"/>
                <w:szCs w:val="24"/>
              </w:rPr>
              <w:t xml:space="preserve">2700</w:t>
            </w:r>
            <w:r/>
          </w:p>
        </w:tc>
      </w:tr>
      <w:tr>
        <w:trPr>
          <w:jc w:val="center"/>
          <w:trHeight w:val="0"/>
        </w:trPr>
        <w:tc>
          <w:tcPr>
            <w:tcW w:w="5578" w:type="dxa"/>
            <w:vAlign w:val="center"/>
            <w:textDirection w:val="lrTb"/>
            <w:noWrap w:val="false"/>
          </w:tcPr>
          <w:p>
            <w:pPr>
              <w:pStyle w:val="934"/>
              <w:ind w:firstLine="0"/>
              <w:jc w:val="left"/>
              <w:rPr>
                <w:rFonts w:hAnsi="宋体" w:cs="Times New Roman"/>
                <w:b/>
                <w:sz w:val="24"/>
                <w:szCs w:val="24"/>
              </w:rPr>
            </w:pPr>
            <w:r>
              <w:rPr>
                <w:rFonts w:hint="eastAsia" w:hAnsi="宋体"/>
                <w:b/>
                <w:sz w:val="24"/>
                <w:szCs w:val="24"/>
              </w:rPr>
              <w:t xml:space="preserve">作业速度范围</w:t>
            </w:r>
            <w:r/>
          </w:p>
        </w:tc>
        <w:tc>
          <w:tcPr>
            <w:tcW w:w="1119" w:type="dxa"/>
            <w:vAlign w:val="center"/>
            <w:textDirection w:val="lrTb"/>
            <w:noWrap w:val="false"/>
          </w:tcPr>
          <w:p>
            <w:pPr>
              <w:pStyle w:val="934"/>
              <w:ind w:firstLine="0"/>
              <w:jc w:val="left"/>
              <w:rPr>
                <w:rFonts w:hAnsi="宋体"/>
                <w:spacing w:val="20"/>
                <w:sz w:val="24"/>
                <w:szCs w:val="24"/>
              </w:rPr>
            </w:pPr>
            <w:r>
              <w:rPr>
                <w:rFonts w:hAnsi="宋体"/>
                <w:spacing w:val="20"/>
                <w:sz w:val="24"/>
                <w:szCs w:val="24"/>
              </w:rPr>
              <w:t xml:space="preserve">km/h</w:t>
            </w:r>
            <w:r/>
          </w:p>
        </w:tc>
        <w:tc>
          <w:tcPr>
            <w:tcW w:w="3257" w:type="dxa"/>
            <w:vAlign w:val="center"/>
            <w:textDirection w:val="lrTb"/>
            <w:noWrap w:val="false"/>
          </w:tcPr>
          <w:p>
            <w:pPr>
              <w:pStyle w:val="934"/>
              <w:ind w:firstLine="0"/>
              <w:jc w:val="left"/>
              <w:rPr>
                <w:rFonts w:hAnsi="宋体" w:cs="Times New Roman"/>
                <w:sz w:val="24"/>
                <w:szCs w:val="24"/>
              </w:rPr>
            </w:pPr>
            <w:r>
              <w:rPr>
                <w:rFonts w:hint="eastAsia" w:hAnsi="宋体" w:cs="Times New Roman"/>
                <w:sz w:val="24"/>
                <w:szCs w:val="24"/>
              </w:rPr>
              <w:t xml:space="preserve">0-</w:t>
            </w:r>
            <w:r>
              <w:rPr>
                <w:rFonts w:hAnsi="宋体" w:cs="Times New Roman"/>
                <w:sz w:val="24"/>
                <w:szCs w:val="24"/>
              </w:rPr>
              <w:t xml:space="preserve">6</w:t>
            </w:r>
            <w:r/>
          </w:p>
        </w:tc>
      </w:tr>
      <w:tr>
        <w:trPr>
          <w:jc w:val="center"/>
          <w:trHeight w:val="0"/>
        </w:trPr>
        <w:tc>
          <w:tcPr>
            <w:tcW w:w="5578" w:type="dxa"/>
            <w:vAlign w:val="center"/>
            <w:textDirection w:val="lrTb"/>
            <w:noWrap w:val="false"/>
          </w:tcPr>
          <w:p>
            <w:pPr>
              <w:pStyle w:val="934"/>
              <w:ind w:firstLine="0"/>
              <w:jc w:val="left"/>
              <w:rPr>
                <w:rFonts w:hAnsi="宋体" w:cs="Times New Roman"/>
                <w:b/>
                <w:sz w:val="24"/>
                <w:szCs w:val="24"/>
              </w:rPr>
            </w:pPr>
            <w:r>
              <w:rPr>
                <w:rFonts w:hint="eastAsia" w:hAnsi="宋体"/>
                <w:b/>
                <w:sz w:val="24"/>
                <w:szCs w:val="24"/>
              </w:rPr>
              <w:t xml:space="preserve">设计切段长度</w:t>
            </w:r>
            <w:r/>
          </w:p>
        </w:tc>
        <w:tc>
          <w:tcPr>
            <w:tcW w:w="1119" w:type="dxa"/>
            <w:vAlign w:val="center"/>
            <w:textDirection w:val="lrTb"/>
            <w:noWrap w:val="false"/>
          </w:tcPr>
          <w:p>
            <w:pPr>
              <w:pStyle w:val="934"/>
              <w:ind w:firstLine="0"/>
              <w:jc w:val="left"/>
              <w:rPr>
                <w:rFonts w:hAnsi="宋体" w:cs="Times New Roman"/>
                <w:spacing w:val="20"/>
                <w:sz w:val="24"/>
                <w:szCs w:val="24"/>
              </w:rPr>
            </w:pPr>
            <w:r>
              <w:rPr>
                <w:rFonts w:hAnsi="宋体"/>
                <w:spacing w:val="20"/>
                <w:sz w:val="24"/>
                <w:szCs w:val="24"/>
              </w:rPr>
              <w:t xml:space="preserve">mm</w:t>
            </w:r>
            <w:r/>
          </w:p>
        </w:tc>
        <w:tc>
          <w:tcPr>
            <w:tcW w:w="3257" w:type="dxa"/>
            <w:vAlign w:val="center"/>
            <w:textDirection w:val="lrTb"/>
            <w:noWrap w:val="false"/>
          </w:tcPr>
          <w:p>
            <w:pPr>
              <w:pStyle w:val="934"/>
              <w:ind w:firstLine="0"/>
              <w:jc w:val="left"/>
              <w:rPr>
                <w:rFonts w:hAnsi="宋体" w:cs="Times New Roman"/>
                <w:sz w:val="24"/>
                <w:szCs w:val="24"/>
              </w:rPr>
            </w:pPr>
            <w:r>
              <w:rPr>
                <w:rFonts w:hint="eastAsia" w:hAnsi="宋体" w:cs="Times New Roman"/>
                <w:sz w:val="24"/>
                <w:szCs w:val="24"/>
              </w:rPr>
              <w:t xml:space="preserve">15</w:t>
            </w:r>
            <w:r/>
          </w:p>
        </w:tc>
      </w:tr>
    </w:tbl>
    <w:p>
      <w:pPr>
        <w:numPr>
          <w:ilvl w:val="0"/>
          <w:numId w:val="8"/>
        </w:numPr>
        <w:ind w:right="0" w:firstLine="241"/>
        <w:jc w:val="both"/>
        <w:keepLines w:val="0"/>
        <w:keepNext w:val="0"/>
        <w:pageBreakBefore w:val="0"/>
        <w:spacing w:line="360" w:lineRule="auto"/>
        <w:widowControl w:val="off"/>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捡拾打捆机</w:t>
      </w:r>
      <w:r/>
    </w:p>
    <w:tbl>
      <w:tblPr>
        <w:tblStyle w:val="697"/>
        <w:tblpPr w:horzAnchor="text" w:tblpXSpec="center" w:vertAnchor="text" w:tblpY="1" w:leftFromText="180" w:topFromText="0" w:rightFromText="180" w:bottomFromText="0"/>
        <w:tblW w:w="5044"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2401"/>
        <w:gridCol w:w="2732"/>
        <w:gridCol w:w="1176"/>
        <w:gridCol w:w="3539"/>
      </w:tblGrid>
      <w:tr>
        <w:trPr>
          <w:jc w:val="center"/>
          <w:trHeight w:val="23"/>
        </w:trPr>
        <w:tc>
          <w:tcPr>
            <w:tcBorders>
              <w:top w:val="single" w:color="000000" w:sz="6" w:space="0"/>
              <w:left w:val="single" w:color="000000" w:sz="6" w:space="0"/>
              <w:right w:val="single" w:color="000000" w:sz="6" w:space="0"/>
            </w:tcBorders>
            <w:tcW w:w="1219" w:type="pct"/>
            <w:vAlign w:val="center"/>
            <w:vMerge w:val="restart"/>
            <w:textDirection w:val="lrTb"/>
            <w:noWrap w:val="false"/>
          </w:tcPr>
          <w:p>
            <w:pPr>
              <w:ind w:left="0" w:right="0" w:firstLine="0"/>
              <w:jc w:val="center"/>
              <w:keepLines w:val="0"/>
              <w:keepNext w:val="0"/>
              <w:pageBreakBefore w:val="0"/>
              <w:spacing w:beforeAutospacing="0" w:afterAutospacing="0" w:line="320" w:lineRule="exact"/>
              <w:widowControl/>
              <w:rPr>
                <w:rFonts w:hint="default" w:ascii="仿宋_GB2312" w:hAnsi="仿宋_GB2312" w:cs="仿宋_GB2312"/>
                <w:sz w:val="28"/>
                <w:szCs w:val="28"/>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仿宋_GB2312" w:hAnsi="仿宋_GB2312" w:cs="仿宋_GB2312"/>
                <w:sz w:val="28"/>
                <w:szCs w:val="28"/>
                <w:lang w:val="en-US" w:eastAsia="zh-CN" w:bidi="ar-SA"/>
              </w:rPr>
              <w:t xml:space="preserve">设备规格参数</w:t>
            </w:r>
            <w:r/>
          </w:p>
        </w:tc>
        <w:tc>
          <w:tcPr>
            <w:gridSpan w:val="3"/>
            <w:tcBorders>
              <w:top w:val="single" w:color="000000" w:sz="6" w:space="0"/>
              <w:left w:val="single" w:color="000000" w:sz="6" w:space="0"/>
              <w:bottom w:val="single" w:color="000000" w:sz="6" w:space="0"/>
              <w:right w:val="single" w:color="000000" w:sz="6" w:space="0"/>
            </w:tcBorders>
            <w:tcW w:w="3780" w:type="pct"/>
            <w:vAlign w:val="center"/>
            <w:textDirection w:val="lrTb"/>
            <w:noWrap w:val="false"/>
          </w:tcPr>
          <w:p>
            <w:pPr>
              <w:ind w:left="0" w:right="0" w:firstLine="0"/>
              <w:jc w:val="center"/>
              <w:keepLines w:val="0"/>
              <w:keepNext w:val="0"/>
              <w:pageBreakBefore w:val="0"/>
              <w:spacing w:beforeAutospacing="0" w:afterAutospacing="0" w:line="320" w:lineRule="exact"/>
              <w:widowControl/>
              <w:rPr>
                <w:rFonts w:hint="default" w:ascii="仿宋_GB2312" w:hAnsi="仿宋_GB2312" w:cs="仿宋_GB2312"/>
                <w:sz w:val="28"/>
                <w:szCs w:val="28"/>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仿宋_GB2312" w:hAnsi="仿宋_GB2312" w:cs="仿宋_GB2312"/>
                <w:sz w:val="28"/>
                <w:szCs w:val="28"/>
                <w:lang w:val="en-US" w:eastAsia="zh-CN" w:bidi="ar-SA"/>
              </w:rPr>
              <w:t xml:space="preserve">捡拾打捆机</w:t>
            </w:r>
            <w:r/>
          </w:p>
        </w:tc>
      </w:tr>
      <w:tr>
        <w:trPr>
          <w:jc w:val="center"/>
          <w:trHeight w:val="23"/>
        </w:trPr>
        <w:tc>
          <w:tcPr>
            <w:tcBorders>
              <w:left w:val="single" w:color="000000" w:sz="6" w:space="0"/>
              <w:right w:val="single" w:color="000000" w:sz="6" w:space="0"/>
            </w:tcBorders>
            <w:tcW w:w="1219" w:type="pct"/>
            <w:vAlign w:val="center"/>
            <w:vMerge w:val="continue"/>
            <w:textDirection w:val="lrTb"/>
            <w:noWrap w:val="false"/>
          </w:tcPr>
          <w:p>
            <w:pPr>
              <w:ind w:left="0" w:right="0" w:firstLine="0"/>
              <w:jc w:val="center"/>
              <w:keepLines w:val="0"/>
              <w:keepNext w:val="0"/>
              <w:pageBreakBefore w:val="0"/>
              <w:spacing w:beforeAutospacing="0" w:afterAutospacing="0" w:line="320" w:lineRule="exact"/>
              <w:widowControl/>
              <w:rPr>
                <w:rFonts w:hint="eastAsia" w:ascii="仿宋_GB2312" w:hAnsi="仿宋_GB2312" w:cs="仿宋_GB2312"/>
                <w:sz w:val="28"/>
                <w:szCs w:val="28"/>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仿宋_GB2312" w:hAnsi="仿宋_GB2312" w:cs="仿宋_GB2312"/>
                <w:sz w:val="28"/>
                <w:szCs w:val="28"/>
                <w:lang w:val="en-US" w:eastAsia="zh-CN" w:bidi="ar-SA"/>
              </w:rPr>
            </w:r>
            <w:r/>
          </w:p>
        </w:tc>
        <w:tc>
          <w:tcPr>
            <w:tcBorders>
              <w:top w:val="single" w:color="000000" w:sz="6" w:space="0"/>
              <w:left w:val="single" w:color="000000" w:sz="6" w:space="0"/>
              <w:bottom w:val="single" w:color="000000" w:sz="6" w:space="0"/>
              <w:right w:val="single" w:color="auto" w:sz="4" w:space="0"/>
            </w:tcBorders>
            <w:tcW w:w="1387" w:type="pct"/>
            <w:vAlign w:val="center"/>
            <w:textDirection w:val="lrTb"/>
            <w:noWrap w:val="false"/>
          </w:tcPr>
          <w:p>
            <w:pPr>
              <w:ind w:left="0" w:right="0" w:firstLine="0"/>
              <w:jc w:val="center"/>
              <w:keepLines w:val="0"/>
              <w:keepNext w:val="0"/>
              <w:pageBreakBefore w:val="0"/>
              <w:spacing w:beforeAutospacing="0" w:afterAutospacing="0" w:line="320" w:lineRule="exact"/>
              <w:widowControl/>
              <w:rPr>
                <w:rFonts w:hint="default" w:ascii="仿宋_GB2312" w:hAnsi="仿宋_GB2312" w:cs="仿宋_GB2312"/>
                <w:sz w:val="28"/>
                <w:szCs w:val="28"/>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仿宋_GB2312" w:hAnsi="仿宋_GB2312" w:cs="仿宋_GB2312"/>
                <w:sz w:val="28"/>
                <w:szCs w:val="28"/>
                <w:lang w:val="en-US" w:eastAsia="zh-CN" w:bidi="ar-SA"/>
              </w:rPr>
              <w:t xml:space="preserve">项目</w:t>
            </w:r>
            <w:r/>
          </w:p>
        </w:tc>
        <w:tc>
          <w:tcPr>
            <w:tcBorders>
              <w:top w:val="single" w:color="000000" w:sz="6" w:space="0"/>
              <w:left w:val="single" w:color="auto" w:sz="4" w:space="0"/>
              <w:bottom w:val="single" w:color="000000" w:sz="6" w:space="0"/>
              <w:right w:val="single" w:color="auto" w:sz="4" w:space="0"/>
            </w:tcBorders>
            <w:tcW w:w="597" w:type="pct"/>
            <w:vAlign w:val="center"/>
            <w:textDirection w:val="lrTb"/>
            <w:noWrap w:val="false"/>
          </w:tcPr>
          <w:p>
            <w:pPr>
              <w:ind w:left="0" w:right="0" w:firstLine="0"/>
              <w:jc w:val="center"/>
              <w:keepLines w:val="0"/>
              <w:keepNext w:val="0"/>
              <w:pageBreakBefore w:val="0"/>
              <w:spacing w:beforeAutospacing="0" w:afterAutospacing="0" w:line="320" w:lineRule="exact"/>
              <w:widowControl/>
              <w:rPr>
                <w:rFonts w:hint="default" w:ascii="仿宋_GB2312" w:hAnsi="仿宋_GB2312" w:eastAsia="仿宋_GB2312" w:cs="仿宋_GB2312"/>
                <w:sz w:val="28"/>
                <w:szCs w:val="28"/>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仿宋_GB2312" w:hAnsi="仿宋_GB2312" w:cs="仿宋_GB2312"/>
                <w:sz w:val="28"/>
                <w:szCs w:val="28"/>
                <w:lang w:val="en-US" w:eastAsia="zh-CN" w:bidi="ar-SA"/>
              </w:rPr>
              <w:t xml:space="preserve">单位</w:t>
            </w:r>
            <w:r/>
          </w:p>
        </w:tc>
        <w:tc>
          <w:tcPr>
            <w:tcBorders>
              <w:top w:val="single" w:color="000000" w:sz="6" w:space="0"/>
              <w:left w:val="single" w:color="auto" w:sz="4" w:space="0"/>
              <w:bottom w:val="single" w:color="000000" w:sz="6" w:space="0"/>
              <w:right w:val="single" w:color="000000" w:sz="6" w:space="0"/>
            </w:tcBorders>
            <w:tcW w:w="1795" w:type="pct"/>
            <w:vAlign w:val="center"/>
            <w:textDirection w:val="lrTb"/>
            <w:noWrap w:val="false"/>
          </w:tcPr>
          <w:p>
            <w:pPr>
              <w:ind w:left="0" w:right="0" w:firstLine="0"/>
              <w:jc w:val="center"/>
              <w:keepLines w:val="0"/>
              <w:keepNext w:val="0"/>
              <w:pageBreakBefore w:val="0"/>
              <w:spacing w:beforeAutospacing="0" w:afterAutospacing="0" w:line="320" w:lineRule="exact"/>
              <w:widowControl/>
              <w:rPr>
                <w:rFonts w:hint="default" w:ascii="仿宋_GB2312" w:hAnsi="仿宋_GB2312" w:cs="仿宋_GB2312"/>
                <w:sz w:val="28"/>
                <w:szCs w:val="28"/>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仿宋_GB2312" w:hAnsi="仿宋_GB2312" w:cs="仿宋_GB2312"/>
                <w:sz w:val="28"/>
                <w:szCs w:val="28"/>
                <w:lang w:val="en-US" w:eastAsia="zh-CN" w:bidi="ar-SA"/>
              </w:rPr>
              <w:t xml:space="preserve">规格</w:t>
            </w:r>
            <w:r/>
          </w:p>
        </w:tc>
      </w:tr>
      <w:tr>
        <w:trPr>
          <w:jc w:val="center"/>
          <w:trHeight w:val="23"/>
        </w:trPr>
        <w:tc>
          <w:tcPr>
            <w:tcBorders>
              <w:left w:val="single" w:color="000000" w:sz="6" w:space="0"/>
              <w:right w:val="single" w:color="000000" w:sz="6" w:space="0"/>
            </w:tcBorders>
            <w:tcW w:w="1219" w:type="pct"/>
            <w:vAlign w:val="center"/>
            <w:vMerge w:val="continue"/>
            <w:textDirection w:val="lrTb"/>
            <w:noWrap w:val="false"/>
          </w:tcPr>
          <w:p>
            <w:pPr>
              <w:ind w:left="0" w:right="0" w:firstLine="0"/>
              <w:jc w:val="center"/>
              <w:keepLines w:val="0"/>
              <w:keepNext w:val="0"/>
              <w:pageBreakBefore w:val="0"/>
              <w:spacing w:beforeAutospacing="0" w:afterAutospacing="0" w:line="320" w:lineRule="exact"/>
              <w:widowControl/>
              <w:rPr>
                <w:rFonts w:hint="eastAsia" w:ascii="仿宋_GB2312" w:hAnsi="仿宋_GB2312" w:cs="仿宋_GB2312"/>
                <w:sz w:val="28"/>
                <w:szCs w:val="28"/>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仿宋_GB2312" w:hAnsi="仿宋_GB2312" w:cs="仿宋_GB2312"/>
                <w:sz w:val="28"/>
                <w:szCs w:val="28"/>
                <w:lang w:val="en-US" w:eastAsia="zh-CN" w:bidi="ar-SA"/>
              </w:rPr>
            </w:r>
            <w:r/>
          </w:p>
        </w:tc>
        <w:tc>
          <w:tcPr>
            <w:tcBorders>
              <w:top w:val="single" w:color="000000" w:sz="6" w:space="0"/>
              <w:left w:val="single" w:color="000000" w:sz="6" w:space="0"/>
              <w:bottom w:val="single" w:color="000000" w:sz="6" w:space="0"/>
              <w:right w:val="single" w:color="auto" w:sz="4" w:space="0"/>
            </w:tcBorders>
            <w:tcW w:w="2732" w:type="dxa"/>
            <w:vAlign w:val="center"/>
            <w:textDirection w:val="lrTb"/>
            <w:noWrap w:val="false"/>
          </w:tcPr>
          <w:p>
            <w:pPr>
              <w:ind w:left="0" w:right="0" w:firstLine="0"/>
              <w:jc w:val="center"/>
              <w:keepLines w:val="0"/>
              <w:keepNext w:val="0"/>
              <w:pageBreakBefore w:val="0"/>
              <w:spacing w:beforeAutospacing="0" w:afterAutospacing="0" w:line="320" w:lineRule="exact"/>
              <w:widowControl/>
              <w:rPr>
                <w:rFonts w:hint="default" w:ascii="仿宋_GB2312" w:hAnsi="仿宋_GB2312" w:cs="仿宋_GB2312"/>
                <w:sz w:val="28"/>
                <w:szCs w:val="28"/>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仿宋_GB2312" w:hAnsi="仿宋_GB2312" w:cs="仿宋_GB2312"/>
                <w:sz w:val="28"/>
                <w:szCs w:val="28"/>
                <w:lang w:val="en-US" w:eastAsia="zh-CN" w:bidi="ar-SA"/>
              </w:rPr>
              <w:t xml:space="preserve">型号名称</w:t>
            </w:r>
            <w:r/>
          </w:p>
        </w:tc>
        <w:tc>
          <w:tcPr>
            <w:tcBorders>
              <w:top w:val="single" w:color="000000" w:sz="6" w:space="0"/>
              <w:left w:val="single" w:color="auto" w:sz="4" w:space="0"/>
              <w:bottom w:val="single" w:color="000000" w:sz="6" w:space="0"/>
              <w:right w:val="single" w:color="auto" w:sz="4" w:space="0"/>
            </w:tcBorders>
            <w:tcW w:w="597" w:type="pct"/>
            <w:vAlign w:val="center"/>
            <w:textDirection w:val="lrTb"/>
            <w:noWrap w:val="false"/>
          </w:tcPr>
          <w:p>
            <w:pPr>
              <w:ind w:left="0" w:right="0" w:firstLine="0"/>
              <w:jc w:val="center"/>
              <w:keepLines w:val="0"/>
              <w:keepNext w:val="0"/>
              <w:pageBreakBefore w:val="0"/>
              <w:spacing w:beforeAutospacing="0" w:afterAutospacing="0" w:line="320" w:lineRule="exact"/>
              <w:widowControl/>
              <w:rPr>
                <w:rFonts w:hint="default" w:ascii="仿宋_GB2312" w:hAnsi="仿宋_GB2312" w:eastAsia="仿宋_GB2312" w:cs="仿宋_GB2312"/>
                <w:sz w:val="28"/>
                <w:szCs w:val="28"/>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default" w:ascii="仿宋_GB2312" w:hAnsi="仿宋_GB2312" w:eastAsia="仿宋_GB2312" w:cs="仿宋_GB2312"/>
                <w:sz w:val="28"/>
                <w:szCs w:val="28"/>
                <w:lang w:val="en-US" w:eastAsia="zh-CN" w:bidi="ar-SA"/>
              </w:rPr>
            </w:r>
            <w:r/>
          </w:p>
        </w:tc>
        <w:tc>
          <w:tcPr>
            <w:tcBorders>
              <w:top w:val="single" w:color="000000" w:sz="6" w:space="0"/>
              <w:left w:val="single" w:color="auto" w:sz="4" w:space="0"/>
              <w:bottom w:val="single" w:color="000000" w:sz="6" w:space="0"/>
              <w:right w:val="single" w:color="000000" w:sz="6" w:space="0"/>
            </w:tcBorders>
            <w:tcW w:w="1795" w:type="pct"/>
            <w:vAlign w:val="center"/>
            <w:textDirection w:val="lrTb"/>
            <w:noWrap w:val="false"/>
          </w:tcPr>
          <w:p>
            <w:pPr>
              <w:ind w:left="0" w:right="0" w:firstLine="0"/>
              <w:jc w:val="center"/>
              <w:keepLines w:val="0"/>
              <w:keepNext w:val="0"/>
              <w:pageBreakBefore w:val="0"/>
              <w:spacing w:beforeAutospacing="0" w:afterAutospacing="0" w:line="320" w:lineRule="exact"/>
              <w:widowControl/>
              <w:rPr>
                <w:rFonts w:hint="default" w:ascii="仿宋_GB2312" w:hAnsi="仿宋_GB2312" w:cs="仿宋_GB2312"/>
                <w:sz w:val="28"/>
                <w:szCs w:val="28"/>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仿宋_GB2312" w:hAnsi="仿宋_GB2312" w:cs="仿宋_GB2312"/>
                <w:sz w:val="24"/>
                <w:szCs w:val="24"/>
                <w:lang w:val="en-US" w:eastAsia="zh-CN" w:bidi="ar-SA"/>
              </w:rPr>
              <w:t xml:space="preserve">捡拾打捆机</w:t>
            </w:r>
            <w:r/>
          </w:p>
        </w:tc>
      </w:tr>
      <w:tr>
        <w:trPr>
          <w:jc w:val="center"/>
          <w:trHeight w:val="23"/>
        </w:trPr>
        <w:tc>
          <w:tcPr>
            <w:tcBorders>
              <w:left w:val="single" w:color="000000" w:sz="6" w:space="0"/>
              <w:right w:val="single" w:color="000000" w:sz="6" w:space="0"/>
            </w:tcBorders>
            <w:tcW w:w="1219" w:type="pct"/>
            <w:vAlign w:val="center"/>
            <w:vMerge w:val="continue"/>
            <w:textDirection w:val="lrTb"/>
            <w:noWrap w:val="false"/>
          </w:tcPr>
          <w:p>
            <w:pPr>
              <w:ind w:left="0" w:right="0" w:firstLine="0"/>
              <w:jc w:val="center"/>
              <w:keepLines w:val="0"/>
              <w:keepNext w:val="0"/>
              <w:pageBreakBefore w:val="0"/>
              <w:spacing w:beforeAutospacing="0" w:afterAutospacing="0" w:line="320" w:lineRule="exact"/>
              <w:widowControl/>
              <w:rPr>
                <w:rFonts w:hint="eastAsia" w:ascii="仿宋_GB2312" w:hAnsi="仿宋_GB2312" w:cs="仿宋_GB2312"/>
                <w:sz w:val="28"/>
                <w:szCs w:val="28"/>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仿宋_GB2312" w:hAnsi="仿宋_GB2312" w:cs="仿宋_GB2312"/>
                <w:sz w:val="28"/>
                <w:szCs w:val="28"/>
                <w:lang w:val="en-US" w:eastAsia="zh-CN" w:bidi="ar-SA"/>
              </w:rPr>
            </w:r>
            <w:r/>
          </w:p>
        </w:tc>
        <w:tc>
          <w:tcPr>
            <w:tcBorders>
              <w:top w:val="single" w:color="000000" w:sz="6" w:space="0"/>
              <w:left w:val="single" w:color="000000" w:sz="6" w:space="0"/>
              <w:bottom w:val="single" w:color="000000" w:sz="6" w:space="0"/>
              <w:right w:val="single" w:color="auto" w:sz="4" w:space="0"/>
            </w:tcBorders>
            <w:tcW w:w="2732" w:type="dxa"/>
            <w:vAlign w:val="center"/>
            <w:textDirection w:val="lrTb"/>
            <w:noWrap w:val="false"/>
          </w:tcPr>
          <w:p>
            <w:pPr>
              <w:ind w:left="0" w:right="0" w:firstLine="0"/>
              <w:jc w:val="center"/>
              <w:keepLines w:val="0"/>
              <w:keepNext w:val="0"/>
              <w:pageBreakBefore w:val="0"/>
              <w:spacing w:beforeAutospacing="0" w:afterAutospacing="0" w:line="320" w:lineRule="exact"/>
              <w:widowControl/>
              <w:rPr>
                <w:rFonts w:hint="default" w:ascii="仿宋_GB2312" w:hAnsi="仿宋_GB2312" w:cs="仿宋_GB2312"/>
                <w:sz w:val="28"/>
                <w:szCs w:val="28"/>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仿宋_GB2312" w:hAnsi="仿宋_GB2312" w:cs="仿宋_GB2312"/>
                <w:sz w:val="28"/>
                <w:szCs w:val="28"/>
                <w:lang w:val="en-US" w:eastAsia="zh-CN" w:bidi="ar-SA"/>
              </w:rPr>
              <w:t xml:space="preserve">挂接方式</w:t>
            </w:r>
            <w:r/>
          </w:p>
        </w:tc>
        <w:tc>
          <w:tcPr>
            <w:tcBorders>
              <w:top w:val="single" w:color="000000" w:sz="6" w:space="0"/>
              <w:left w:val="single" w:color="auto" w:sz="4" w:space="0"/>
              <w:bottom w:val="single" w:color="000000" w:sz="6" w:space="0"/>
              <w:right w:val="single" w:color="auto" w:sz="4" w:space="0"/>
            </w:tcBorders>
            <w:tcW w:w="597" w:type="pct"/>
            <w:vAlign w:val="center"/>
            <w:textDirection w:val="lrTb"/>
            <w:noWrap w:val="false"/>
          </w:tcPr>
          <w:p>
            <w:pPr>
              <w:ind w:left="0" w:right="0" w:firstLine="0"/>
              <w:jc w:val="center"/>
              <w:keepLines w:val="0"/>
              <w:keepNext w:val="0"/>
              <w:pageBreakBefore w:val="0"/>
              <w:spacing w:beforeAutospacing="0" w:afterAutospacing="0" w:line="320" w:lineRule="exact"/>
              <w:widowControl/>
              <w:rPr>
                <w:rFonts w:hint="default" w:ascii="仿宋_GB2312" w:hAnsi="仿宋_GB2312" w:eastAsia="仿宋_GB2312" w:cs="仿宋_GB2312"/>
                <w:sz w:val="28"/>
                <w:szCs w:val="28"/>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default" w:ascii="仿宋_GB2312" w:hAnsi="仿宋_GB2312" w:eastAsia="仿宋_GB2312" w:cs="仿宋_GB2312"/>
                <w:sz w:val="28"/>
                <w:szCs w:val="28"/>
                <w:lang w:val="en-US" w:eastAsia="zh-CN" w:bidi="ar-SA"/>
              </w:rPr>
            </w:r>
            <w:r/>
          </w:p>
        </w:tc>
        <w:tc>
          <w:tcPr>
            <w:tcBorders>
              <w:top w:val="single" w:color="000000" w:sz="6" w:space="0"/>
              <w:left w:val="single" w:color="auto" w:sz="4" w:space="0"/>
              <w:bottom w:val="single" w:color="000000" w:sz="6" w:space="0"/>
              <w:right w:val="single" w:color="000000" w:sz="6" w:space="0"/>
            </w:tcBorders>
            <w:tcW w:w="1795" w:type="pct"/>
            <w:vAlign w:val="center"/>
            <w:textDirection w:val="lrTb"/>
            <w:noWrap w:val="false"/>
          </w:tcPr>
          <w:p>
            <w:pPr>
              <w:ind w:left="0" w:right="0" w:firstLine="0"/>
              <w:jc w:val="center"/>
              <w:keepLines w:val="0"/>
              <w:keepNext w:val="0"/>
              <w:pageBreakBefore w:val="0"/>
              <w:spacing w:beforeAutospacing="0" w:afterAutospacing="0" w:line="320" w:lineRule="exact"/>
              <w:widowControl/>
              <w:rPr>
                <w:rFonts w:hint="default" w:ascii="仿宋_GB2312" w:hAnsi="仿宋_GB2312" w:cs="仿宋_GB2312"/>
                <w:sz w:val="28"/>
                <w:szCs w:val="28"/>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仿宋_GB2312" w:hAnsi="仿宋_GB2312" w:cs="仿宋_GB2312"/>
                <w:sz w:val="28"/>
                <w:szCs w:val="28"/>
                <w:lang w:val="en-US" w:eastAsia="zh-CN" w:bidi="ar-SA"/>
              </w:rPr>
              <w:t xml:space="preserve">牵引式</w:t>
            </w:r>
            <w:r/>
          </w:p>
        </w:tc>
      </w:tr>
      <w:tr>
        <w:trPr>
          <w:jc w:val="center"/>
          <w:trHeight w:val="23"/>
        </w:trPr>
        <w:tc>
          <w:tcPr>
            <w:tcBorders>
              <w:left w:val="single" w:color="000000" w:sz="6" w:space="0"/>
              <w:right w:val="single" w:color="000000" w:sz="6" w:space="0"/>
            </w:tcBorders>
            <w:tcW w:w="1219" w:type="pct"/>
            <w:vAlign w:val="center"/>
            <w:vMerge w:val="continue"/>
            <w:textDirection w:val="lrTb"/>
            <w:noWrap w:val="false"/>
          </w:tcPr>
          <w:p>
            <w:pPr>
              <w:ind w:left="0" w:right="0" w:firstLine="0"/>
              <w:jc w:val="center"/>
              <w:keepLines w:val="0"/>
              <w:keepNext w:val="0"/>
              <w:pageBreakBefore w:val="0"/>
              <w:spacing w:beforeAutospacing="0" w:afterAutospacing="0" w:line="320" w:lineRule="exact"/>
              <w:widowControl/>
              <w:rPr>
                <w:rFonts w:hint="eastAsia" w:ascii="仿宋_GB2312" w:hAnsi="仿宋_GB2312" w:cs="仿宋_GB2312"/>
                <w:sz w:val="28"/>
                <w:szCs w:val="28"/>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仿宋_GB2312" w:hAnsi="仿宋_GB2312" w:cs="仿宋_GB2312"/>
                <w:sz w:val="28"/>
                <w:szCs w:val="28"/>
                <w:lang w:val="en-US" w:eastAsia="zh-CN" w:bidi="ar-SA"/>
              </w:rPr>
            </w:r>
            <w:r/>
          </w:p>
        </w:tc>
        <w:tc>
          <w:tcPr>
            <w:tcBorders>
              <w:top w:val="single" w:color="000000" w:sz="6" w:space="0"/>
              <w:left w:val="single" w:color="000000" w:sz="6" w:space="0"/>
              <w:bottom w:val="single" w:color="000000" w:sz="6" w:space="0"/>
              <w:right w:val="single" w:color="auto" w:sz="4" w:space="0"/>
            </w:tcBorders>
            <w:tcW w:w="2732" w:type="dxa"/>
            <w:vAlign w:val="center"/>
            <w:textDirection w:val="lrTb"/>
            <w:noWrap w:val="false"/>
          </w:tcPr>
          <w:p>
            <w:pPr>
              <w:ind w:left="0" w:right="0" w:firstLine="0"/>
              <w:jc w:val="center"/>
              <w:keepLines w:val="0"/>
              <w:keepNext w:val="0"/>
              <w:pageBreakBefore w:val="0"/>
              <w:spacing w:beforeAutospacing="0" w:afterAutospacing="0" w:line="320" w:lineRule="exact"/>
              <w:widowControl/>
              <w:rPr>
                <w:rFonts w:hint="default" w:ascii="仿宋_GB2312" w:hAnsi="仿宋_GB2312" w:cs="仿宋_GB2312"/>
                <w:sz w:val="28"/>
                <w:szCs w:val="28"/>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sz w:val="24"/>
                <w:szCs w:val="24"/>
                <w:highlight w:val="yellow"/>
                <w:lang w:val="en-US" w:eastAsia="zh-CN"/>
              </w:rPr>
              <w:t xml:space="preserve">▲</w:t>
            </w:r>
            <w:r>
              <w:rPr>
                <w:rFonts w:hint="eastAsia" w:ascii="仿宋_GB2312" w:hAnsi="仿宋_GB2312" w:cs="仿宋_GB2312"/>
                <w:sz w:val="28"/>
                <w:szCs w:val="28"/>
                <w:lang w:val="en-US" w:eastAsia="zh-CN" w:bidi="ar-SA"/>
              </w:rPr>
              <w:t xml:space="preserve">捡</w:t>
            </w:r>
            <w:r>
              <w:rPr>
                <w:rFonts w:hint="eastAsia" w:ascii="仿宋_GB2312" w:hAnsi="仿宋_GB2312" w:cs="仿宋_GB2312"/>
                <w:color w:val="ff0000"/>
                <w:sz w:val="28"/>
                <w:szCs w:val="28"/>
                <w:lang w:val="en-US" w:eastAsia="zh-CN" w:bidi="ar-SA"/>
              </w:rPr>
              <w:t xml:space="preserve">拾宽度</w:t>
            </w:r>
            <w:r/>
          </w:p>
        </w:tc>
        <w:tc>
          <w:tcPr>
            <w:tcBorders>
              <w:top w:val="single" w:color="000000" w:sz="6" w:space="0"/>
              <w:left w:val="single" w:color="auto" w:sz="4" w:space="0"/>
              <w:bottom w:val="single" w:color="000000" w:sz="6" w:space="0"/>
              <w:right w:val="single" w:color="auto" w:sz="4" w:space="0"/>
            </w:tcBorders>
            <w:tcW w:w="597" w:type="pct"/>
            <w:vAlign w:val="center"/>
            <w:textDirection w:val="lrTb"/>
            <w:noWrap w:val="false"/>
          </w:tcPr>
          <w:p>
            <w:pPr>
              <w:ind w:left="0" w:right="0" w:firstLine="0"/>
              <w:jc w:val="center"/>
              <w:keepLines w:val="0"/>
              <w:keepNext w:val="0"/>
              <w:pageBreakBefore w:val="0"/>
              <w:spacing w:beforeAutospacing="0" w:afterAutospacing="0" w:line="320" w:lineRule="exact"/>
              <w:widowControl/>
              <w:rPr>
                <w:rFonts w:hint="default" w:ascii="仿宋_GB2312" w:hAnsi="仿宋_GB2312" w:eastAsia="仿宋_GB2312" w:cs="仿宋_GB2312"/>
                <w:sz w:val="28"/>
                <w:szCs w:val="28"/>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仿宋_GB2312" w:hAnsi="仿宋_GB2312" w:cs="仿宋_GB2312"/>
                <w:sz w:val="28"/>
                <w:szCs w:val="28"/>
                <w:lang w:val="en-US" w:eastAsia="zh-CN" w:bidi="ar-SA"/>
              </w:rPr>
              <w:t xml:space="preserve">mm</w:t>
            </w:r>
            <w:r/>
          </w:p>
        </w:tc>
        <w:tc>
          <w:tcPr>
            <w:tcBorders>
              <w:top w:val="single" w:color="000000" w:sz="6" w:space="0"/>
              <w:left w:val="single" w:color="auto" w:sz="4" w:space="0"/>
              <w:bottom w:val="single" w:color="000000" w:sz="6" w:space="0"/>
              <w:right w:val="single" w:color="000000" w:sz="6" w:space="0"/>
            </w:tcBorders>
            <w:tcW w:w="1795" w:type="pct"/>
            <w:vAlign w:val="center"/>
            <w:textDirection w:val="lrTb"/>
            <w:noWrap w:val="false"/>
          </w:tcPr>
          <w:p>
            <w:pPr>
              <w:ind w:left="0" w:right="0" w:firstLine="0"/>
              <w:jc w:val="center"/>
              <w:keepLines w:val="0"/>
              <w:keepNext w:val="0"/>
              <w:pageBreakBefore w:val="0"/>
              <w:spacing w:beforeAutospacing="0" w:afterAutospacing="0" w:line="320" w:lineRule="exact"/>
              <w:widowControl/>
              <w:rPr>
                <w:rFonts w:hint="default" w:ascii="仿宋_GB2312" w:hAnsi="仿宋_GB2312" w:cs="仿宋_GB2312"/>
                <w:sz w:val="28"/>
                <w:szCs w:val="28"/>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仿宋_GB2312" w:hAnsi="仿宋_GB2312" w:cs="仿宋_GB2312"/>
                <w:sz w:val="28"/>
                <w:szCs w:val="28"/>
                <w:lang w:val="en-US" w:eastAsia="zh-CN" w:bidi="ar-SA"/>
              </w:rPr>
              <w:t xml:space="preserve">≥2240</w:t>
            </w:r>
            <w:r/>
          </w:p>
        </w:tc>
      </w:tr>
      <w:tr>
        <w:trPr>
          <w:jc w:val="center"/>
          <w:trHeight w:val="23"/>
        </w:trPr>
        <w:tc>
          <w:tcPr>
            <w:tcBorders>
              <w:left w:val="single" w:color="000000" w:sz="6" w:space="0"/>
              <w:right w:val="single" w:color="000000" w:sz="6" w:space="0"/>
            </w:tcBorders>
            <w:tcW w:w="1219" w:type="pct"/>
            <w:vAlign w:val="center"/>
            <w:vMerge w:val="continue"/>
            <w:textDirection w:val="lrTb"/>
            <w:noWrap w:val="false"/>
          </w:tcPr>
          <w:p>
            <w:pPr>
              <w:ind w:left="0" w:right="0" w:firstLine="0"/>
              <w:jc w:val="center"/>
              <w:keepLines w:val="0"/>
              <w:keepNext w:val="0"/>
              <w:pageBreakBefore w:val="0"/>
              <w:spacing w:beforeAutospacing="0" w:afterAutospacing="0" w:line="320" w:lineRule="exact"/>
              <w:widowControl/>
              <w:rPr>
                <w:rFonts w:hint="eastAsia" w:ascii="仿宋_GB2312" w:hAnsi="仿宋_GB2312" w:cs="仿宋_GB2312"/>
                <w:sz w:val="28"/>
                <w:szCs w:val="28"/>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仿宋_GB2312" w:hAnsi="仿宋_GB2312" w:cs="仿宋_GB2312"/>
                <w:sz w:val="28"/>
                <w:szCs w:val="28"/>
                <w:lang w:val="en-US" w:eastAsia="zh-CN" w:bidi="ar-SA"/>
              </w:rPr>
            </w:r>
            <w:r/>
          </w:p>
        </w:tc>
        <w:tc>
          <w:tcPr>
            <w:tcBorders>
              <w:top w:val="single" w:color="000000" w:sz="6" w:space="0"/>
              <w:left w:val="single" w:color="000000" w:sz="6" w:space="0"/>
              <w:bottom w:val="single" w:color="000000" w:sz="6" w:space="0"/>
              <w:right w:val="single" w:color="auto" w:sz="4" w:space="0"/>
            </w:tcBorders>
            <w:tcW w:w="2732" w:type="dxa"/>
            <w:vAlign w:val="center"/>
            <w:textDirection w:val="lrTb"/>
            <w:noWrap w:val="false"/>
          </w:tcPr>
          <w:p>
            <w:pPr>
              <w:ind w:left="0" w:right="0" w:firstLine="0"/>
              <w:jc w:val="center"/>
              <w:keepLines w:val="0"/>
              <w:keepNext w:val="0"/>
              <w:pageBreakBefore w:val="0"/>
              <w:spacing w:beforeAutospacing="0" w:afterAutospacing="0" w:line="320" w:lineRule="exact"/>
              <w:widowControl/>
              <w:rPr>
                <w:rFonts w:hint="default" w:ascii="仿宋_GB2312" w:hAnsi="仿宋_GB2312" w:cs="仿宋_GB2312"/>
                <w:sz w:val="28"/>
                <w:szCs w:val="28"/>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仿宋_GB2312" w:hAnsi="仿宋_GB2312" w:cs="仿宋_GB2312"/>
                <w:sz w:val="28"/>
                <w:szCs w:val="28"/>
                <w:lang w:val="en-US" w:eastAsia="zh-CN" w:bidi="ar-SA"/>
              </w:rPr>
              <w:t xml:space="preserve">捡拾器结构</w:t>
            </w:r>
            <w:r/>
          </w:p>
        </w:tc>
        <w:tc>
          <w:tcPr>
            <w:tcBorders>
              <w:top w:val="single" w:color="000000" w:sz="6" w:space="0"/>
              <w:left w:val="single" w:color="auto" w:sz="4" w:space="0"/>
              <w:bottom w:val="single" w:color="000000" w:sz="6" w:space="0"/>
              <w:right w:val="single" w:color="auto" w:sz="4" w:space="0"/>
            </w:tcBorders>
            <w:tcW w:w="597" w:type="pct"/>
            <w:vAlign w:val="center"/>
            <w:textDirection w:val="lrTb"/>
            <w:noWrap w:val="false"/>
          </w:tcPr>
          <w:p>
            <w:pPr>
              <w:ind w:left="0" w:right="0" w:firstLine="0"/>
              <w:jc w:val="center"/>
              <w:keepLines w:val="0"/>
              <w:keepNext w:val="0"/>
              <w:pageBreakBefore w:val="0"/>
              <w:spacing w:beforeAutospacing="0" w:afterAutospacing="0" w:line="320" w:lineRule="exact"/>
              <w:widowControl/>
              <w:rPr>
                <w:rFonts w:hint="default" w:ascii="仿宋_GB2312" w:hAnsi="仿宋_GB2312" w:eastAsia="仿宋_GB2312" w:cs="仿宋_GB2312"/>
                <w:sz w:val="28"/>
                <w:szCs w:val="28"/>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default" w:ascii="仿宋_GB2312" w:hAnsi="仿宋_GB2312" w:eastAsia="仿宋_GB2312" w:cs="仿宋_GB2312"/>
                <w:sz w:val="28"/>
                <w:szCs w:val="28"/>
                <w:lang w:val="en-US" w:eastAsia="zh-CN" w:bidi="ar-SA"/>
              </w:rPr>
            </w:r>
            <w:r/>
          </w:p>
        </w:tc>
        <w:tc>
          <w:tcPr>
            <w:tcBorders>
              <w:top w:val="single" w:color="000000" w:sz="6" w:space="0"/>
              <w:left w:val="single" w:color="auto" w:sz="4" w:space="0"/>
              <w:bottom w:val="single" w:color="000000" w:sz="6" w:space="0"/>
              <w:right w:val="single" w:color="000000" w:sz="6" w:space="0"/>
            </w:tcBorders>
            <w:tcW w:w="1795" w:type="pct"/>
            <w:vAlign w:val="center"/>
            <w:textDirection w:val="lrTb"/>
            <w:noWrap w:val="false"/>
          </w:tcPr>
          <w:p>
            <w:pPr>
              <w:ind w:left="0" w:right="0" w:firstLine="0"/>
              <w:jc w:val="center"/>
              <w:keepLines w:val="0"/>
              <w:keepNext w:val="0"/>
              <w:pageBreakBefore w:val="0"/>
              <w:spacing w:beforeAutospacing="0" w:afterAutospacing="0" w:line="320" w:lineRule="exact"/>
              <w:widowControl/>
              <w:rPr>
                <w:rFonts w:hint="default" w:ascii="仿宋_GB2312" w:hAnsi="仿宋_GB2312" w:cs="仿宋_GB2312"/>
                <w:sz w:val="28"/>
                <w:szCs w:val="28"/>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仿宋_GB2312" w:hAnsi="仿宋_GB2312" w:cs="仿宋_GB2312"/>
                <w:sz w:val="28"/>
                <w:szCs w:val="28"/>
                <w:lang w:val="en-US" w:eastAsia="zh-CN" w:bidi="ar-SA"/>
              </w:rPr>
              <w:t xml:space="preserve">弹齿式</w:t>
            </w:r>
            <w:r/>
          </w:p>
        </w:tc>
      </w:tr>
      <w:tr>
        <w:trPr>
          <w:jc w:val="center"/>
          <w:trHeight w:val="23"/>
        </w:trPr>
        <w:tc>
          <w:tcPr>
            <w:tcBorders>
              <w:left w:val="single" w:color="000000" w:sz="6" w:space="0"/>
              <w:right w:val="single" w:color="000000" w:sz="6" w:space="0"/>
            </w:tcBorders>
            <w:tcW w:w="1219" w:type="pct"/>
            <w:vAlign w:val="center"/>
            <w:vMerge w:val="continue"/>
            <w:textDirection w:val="lrTb"/>
            <w:noWrap w:val="false"/>
          </w:tcPr>
          <w:p>
            <w:pPr>
              <w:ind w:left="0" w:right="0" w:firstLine="0"/>
              <w:jc w:val="center"/>
              <w:keepLines w:val="0"/>
              <w:keepNext w:val="0"/>
              <w:pageBreakBefore w:val="0"/>
              <w:spacing w:beforeAutospacing="0" w:afterAutospacing="0" w:line="320" w:lineRule="exact"/>
              <w:widowControl/>
              <w:rPr>
                <w:rFonts w:hint="eastAsia" w:ascii="仿宋_GB2312" w:hAnsi="仿宋_GB2312" w:cs="仿宋_GB2312"/>
                <w:sz w:val="28"/>
                <w:szCs w:val="28"/>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仿宋_GB2312" w:hAnsi="仿宋_GB2312" w:cs="仿宋_GB2312"/>
                <w:sz w:val="28"/>
                <w:szCs w:val="28"/>
                <w:lang w:val="en-US" w:eastAsia="zh-CN" w:bidi="ar-SA"/>
              </w:rPr>
            </w:r>
            <w:r/>
          </w:p>
        </w:tc>
        <w:tc>
          <w:tcPr>
            <w:tcBorders>
              <w:top w:val="single" w:color="000000" w:sz="6" w:space="0"/>
              <w:left w:val="single" w:color="000000" w:sz="6" w:space="0"/>
              <w:bottom w:val="single" w:color="000000" w:sz="6" w:space="0"/>
              <w:right w:val="single" w:color="auto" w:sz="4" w:space="0"/>
            </w:tcBorders>
            <w:tcW w:w="2732" w:type="dxa"/>
            <w:vAlign w:val="center"/>
            <w:textDirection w:val="lrTb"/>
            <w:noWrap w:val="false"/>
          </w:tcPr>
          <w:p>
            <w:pPr>
              <w:ind w:left="0" w:right="0" w:firstLine="0"/>
              <w:jc w:val="center"/>
              <w:keepLines w:val="0"/>
              <w:keepNext w:val="0"/>
              <w:pageBreakBefore w:val="0"/>
              <w:spacing w:beforeAutospacing="0" w:afterAutospacing="0" w:line="320" w:lineRule="exact"/>
              <w:widowControl/>
              <w:rPr>
                <w:rFonts w:hint="eastAsia" w:ascii="仿宋_GB2312" w:hAnsi="仿宋_GB2312" w:cs="仿宋_GB2312"/>
                <w:sz w:val="28"/>
                <w:szCs w:val="28"/>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仿宋_GB2312" w:hAnsi="仿宋_GB2312" w:cs="仿宋_GB2312"/>
                <w:sz w:val="28"/>
                <w:szCs w:val="28"/>
                <w:lang w:val="en-US" w:eastAsia="zh-CN" w:bidi="ar-SA"/>
              </w:rPr>
              <w:t xml:space="preserve">喂入器结构</w:t>
            </w:r>
            <w:r/>
          </w:p>
        </w:tc>
        <w:tc>
          <w:tcPr>
            <w:tcBorders>
              <w:top w:val="single" w:color="000000" w:sz="6" w:space="0"/>
              <w:left w:val="single" w:color="auto" w:sz="4" w:space="0"/>
              <w:bottom w:val="single" w:color="000000" w:sz="6" w:space="0"/>
              <w:right w:val="single" w:color="auto" w:sz="4" w:space="0"/>
            </w:tcBorders>
            <w:tcW w:w="597" w:type="pct"/>
            <w:vAlign w:val="center"/>
            <w:textDirection w:val="lrTb"/>
            <w:noWrap w:val="false"/>
          </w:tcPr>
          <w:p>
            <w:pPr>
              <w:ind w:left="0" w:right="0" w:firstLine="0"/>
              <w:jc w:val="center"/>
              <w:keepLines w:val="0"/>
              <w:keepNext w:val="0"/>
              <w:pageBreakBefore w:val="0"/>
              <w:spacing w:beforeAutospacing="0" w:afterAutospacing="0" w:line="320" w:lineRule="exact"/>
              <w:widowControl/>
              <w:rPr>
                <w:rFonts w:hint="default" w:ascii="仿宋_GB2312" w:hAnsi="仿宋_GB2312" w:eastAsia="仿宋_GB2312" w:cs="仿宋_GB2312"/>
                <w:sz w:val="28"/>
                <w:szCs w:val="28"/>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default" w:ascii="仿宋_GB2312" w:hAnsi="仿宋_GB2312" w:eastAsia="仿宋_GB2312" w:cs="仿宋_GB2312"/>
                <w:sz w:val="28"/>
                <w:szCs w:val="28"/>
                <w:lang w:val="en-US" w:eastAsia="zh-CN" w:bidi="ar-SA"/>
              </w:rPr>
            </w:r>
            <w:r/>
          </w:p>
        </w:tc>
        <w:tc>
          <w:tcPr>
            <w:tcBorders>
              <w:top w:val="single" w:color="000000" w:sz="6" w:space="0"/>
              <w:left w:val="single" w:color="auto" w:sz="4" w:space="0"/>
              <w:bottom w:val="single" w:color="000000" w:sz="6" w:space="0"/>
              <w:right w:val="single" w:color="000000" w:sz="6" w:space="0"/>
            </w:tcBorders>
            <w:tcW w:w="1795" w:type="pct"/>
            <w:vAlign w:val="center"/>
            <w:textDirection w:val="lrTb"/>
            <w:noWrap w:val="false"/>
          </w:tcPr>
          <w:p>
            <w:pPr>
              <w:ind w:left="0" w:right="0" w:firstLine="0"/>
              <w:jc w:val="center"/>
              <w:keepLines w:val="0"/>
              <w:keepNext w:val="0"/>
              <w:pageBreakBefore w:val="0"/>
              <w:spacing w:beforeAutospacing="0" w:afterAutospacing="0" w:line="320" w:lineRule="exact"/>
              <w:widowControl/>
              <w:rPr>
                <w:rFonts w:hint="default" w:ascii="仿宋_GB2312" w:hAnsi="仿宋_GB2312" w:cs="仿宋_GB2312"/>
                <w:sz w:val="28"/>
                <w:szCs w:val="28"/>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仿宋_GB2312" w:hAnsi="仿宋_GB2312" w:cs="仿宋_GB2312"/>
                <w:sz w:val="28"/>
                <w:szCs w:val="28"/>
                <w:lang w:val="en-US" w:eastAsia="zh-CN" w:bidi="ar-SA"/>
              </w:rPr>
              <w:t xml:space="preserve">拨齿辊/拨叉式+辊筒式</w:t>
            </w:r>
            <w:r/>
          </w:p>
        </w:tc>
      </w:tr>
      <w:tr>
        <w:trPr>
          <w:jc w:val="center"/>
          <w:trHeight w:val="23"/>
        </w:trPr>
        <w:tc>
          <w:tcPr>
            <w:tcBorders>
              <w:left w:val="single" w:color="000000" w:sz="6" w:space="0"/>
              <w:right w:val="single" w:color="000000" w:sz="6" w:space="0"/>
            </w:tcBorders>
            <w:tcW w:w="1219" w:type="pct"/>
            <w:vAlign w:val="center"/>
            <w:vMerge w:val="continue"/>
            <w:textDirection w:val="lrTb"/>
            <w:noWrap w:val="false"/>
          </w:tcPr>
          <w:p>
            <w:pPr>
              <w:ind w:left="0" w:right="0" w:firstLine="0"/>
              <w:jc w:val="center"/>
              <w:keepLines w:val="0"/>
              <w:keepNext w:val="0"/>
              <w:pageBreakBefore w:val="0"/>
              <w:spacing w:beforeAutospacing="0" w:afterAutospacing="0" w:line="320" w:lineRule="exact"/>
              <w:widowControl/>
              <w:rPr>
                <w:rFonts w:hint="eastAsia" w:ascii="仿宋_GB2312" w:hAnsi="仿宋_GB2312" w:cs="仿宋_GB2312"/>
                <w:sz w:val="28"/>
                <w:szCs w:val="28"/>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仿宋_GB2312" w:hAnsi="仿宋_GB2312" w:cs="仿宋_GB2312"/>
                <w:sz w:val="28"/>
                <w:szCs w:val="28"/>
                <w:lang w:val="en-US" w:eastAsia="zh-CN" w:bidi="ar-SA"/>
              </w:rPr>
            </w:r>
            <w:r/>
          </w:p>
        </w:tc>
        <w:tc>
          <w:tcPr>
            <w:tcBorders>
              <w:top w:val="single" w:color="000000" w:sz="6" w:space="0"/>
              <w:left w:val="single" w:color="000000" w:sz="6" w:space="0"/>
              <w:bottom w:val="single" w:color="000000" w:sz="6" w:space="0"/>
              <w:right w:val="single" w:color="auto" w:sz="4" w:space="0"/>
            </w:tcBorders>
            <w:tcW w:w="2732" w:type="dxa"/>
            <w:vAlign w:val="center"/>
            <w:textDirection w:val="lrTb"/>
            <w:noWrap w:val="false"/>
          </w:tcPr>
          <w:p>
            <w:pPr>
              <w:ind w:left="0" w:right="0" w:firstLine="0"/>
              <w:jc w:val="center"/>
              <w:keepLines w:val="0"/>
              <w:keepNext w:val="0"/>
              <w:pageBreakBefore w:val="0"/>
              <w:spacing w:beforeAutospacing="0" w:afterAutospacing="0" w:line="320" w:lineRule="exact"/>
              <w:widowControl/>
              <w:rPr>
                <w:rFonts w:hint="default" w:ascii="仿宋_GB2312" w:hAnsi="仿宋_GB2312" w:cs="仿宋_GB2312"/>
                <w:sz w:val="28"/>
                <w:szCs w:val="28"/>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仿宋_GB2312" w:hAnsi="仿宋_GB2312" w:cs="仿宋_GB2312"/>
                <w:sz w:val="28"/>
                <w:szCs w:val="28"/>
                <w:lang w:val="en-US" w:eastAsia="zh-CN" w:bidi="ar-SA"/>
              </w:rPr>
              <w:t xml:space="preserve">压缩室成捆结构</w:t>
            </w:r>
            <w:r/>
          </w:p>
        </w:tc>
        <w:tc>
          <w:tcPr>
            <w:tcBorders>
              <w:top w:val="single" w:color="000000" w:sz="6" w:space="0"/>
              <w:left w:val="single" w:color="auto" w:sz="4" w:space="0"/>
              <w:bottom w:val="single" w:color="000000" w:sz="6" w:space="0"/>
              <w:right w:val="single" w:color="auto" w:sz="4" w:space="0"/>
            </w:tcBorders>
            <w:tcW w:w="597" w:type="pct"/>
            <w:vAlign w:val="center"/>
            <w:textDirection w:val="lrTb"/>
            <w:noWrap w:val="false"/>
          </w:tcPr>
          <w:p>
            <w:pPr>
              <w:ind w:left="0" w:right="0" w:firstLine="0"/>
              <w:jc w:val="center"/>
              <w:keepLines w:val="0"/>
              <w:keepNext w:val="0"/>
              <w:pageBreakBefore w:val="0"/>
              <w:spacing w:beforeAutospacing="0" w:afterAutospacing="0" w:line="320" w:lineRule="exact"/>
              <w:widowControl/>
              <w:rPr>
                <w:rFonts w:hint="default" w:ascii="仿宋_GB2312" w:hAnsi="仿宋_GB2312" w:eastAsia="仿宋_GB2312" w:cs="仿宋_GB2312"/>
                <w:sz w:val="28"/>
                <w:szCs w:val="28"/>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仿宋_GB2312" w:hAnsi="仿宋_GB2312" w:cs="仿宋_GB2312"/>
                <w:sz w:val="28"/>
                <w:szCs w:val="28"/>
                <w:lang w:val="en-US" w:eastAsia="zh-CN" w:bidi="ar-SA"/>
              </w:rPr>
              <w:t xml:space="preserve">个</w:t>
            </w:r>
            <w:r/>
          </w:p>
        </w:tc>
        <w:tc>
          <w:tcPr>
            <w:tcBorders>
              <w:top w:val="single" w:color="000000" w:sz="6" w:space="0"/>
              <w:left w:val="single" w:color="auto" w:sz="4" w:space="0"/>
              <w:bottom w:val="single" w:color="000000" w:sz="6" w:space="0"/>
              <w:right w:val="single" w:color="000000" w:sz="6" w:space="0"/>
            </w:tcBorders>
            <w:tcW w:w="1795" w:type="pct"/>
            <w:vAlign w:val="center"/>
            <w:textDirection w:val="lrTb"/>
            <w:noWrap w:val="false"/>
          </w:tcPr>
          <w:p>
            <w:pPr>
              <w:ind w:left="0" w:right="0" w:firstLine="0"/>
              <w:jc w:val="center"/>
              <w:keepLines w:val="0"/>
              <w:keepNext w:val="0"/>
              <w:pageBreakBefore w:val="0"/>
              <w:spacing w:beforeAutospacing="0" w:afterAutospacing="0" w:line="320" w:lineRule="exact"/>
              <w:widowControl/>
              <w:rPr>
                <w:rFonts w:hint="default" w:ascii="仿宋_GB2312" w:hAnsi="仿宋_GB2312" w:cs="仿宋_GB2312"/>
                <w:sz w:val="28"/>
                <w:szCs w:val="28"/>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仿宋_GB2312" w:hAnsi="仿宋_GB2312" w:cs="仿宋_GB2312"/>
                <w:sz w:val="28"/>
                <w:szCs w:val="28"/>
                <w:lang w:val="en-US" w:eastAsia="zh-CN" w:bidi="ar-SA"/>
              </w:rPr>
              <w:t xml:space="preserve">辊筒式/滚筒式</w:t>
            </w:r>
            <w:r/>
          </w:p>
        </w:tc>
      </w:tr>
      <w:tr>
        <w:trPr>
          <w:jc w:val="center"/>
          <w:trHeight w:val="23"/>
        </w:trPr>
        <w:tc>
          <w:tcPr>
            <w:tcBorders>
              <w:left w:val="single" w:color="000000" w:sz="6" w:space="0"/>
              <w:right w:val="single" w:color="000000" w:sz="6" w:space="0"/>
            </w:tcBorders>
            <w:tcW w:w="1219" w:type="pct"/>
            <w:vAlign w:val="center"/>
            <w:vMerge w:val="continue"/>
            <w:textDirection w:val="lrTb"/>
            <w:noWrap w:val="false"/>
          </w:tcPr>
          <w:p>
            <w:pPr>
              <w:ind w:left="0" w:right="0" w:firstLine="0"/>
              <w:jc w:val="center"/>
              <w:keepLines w:val="0"/>
              <w:keepNext w:val="0"/>
              <w:pageBreakBefore w:val="0"/>
              <w:spacing w:beforeAutospacing="0" w:afterAutospacing="0" w:line="320" w:lineRule="exact"/>
              <w:widowControl/>
              <w:rPr>
                <w:rFonts w:hint="eastAsia" w:ascii="仿宋_GB2312" w:hAnsi="仿宋_GB2312" w:cs="仿宋_GB2312"/>
                <w:sz w:val="28"/>
                <w:szCs w:val="28"/>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仿宋_GB2312" w:hAnsi="仿宋_GB2312" w:cs="仿宋_GB2312"/>
                <w:sz w:val="28"/>
                <w:szCs w:val="28"/>
                <w:lang w:val="en-US" w:eastAsia="zh-CN" w:bidi="ar-SA"/>
              </w:rPr>
            </w:r>
            <w:r/>
          </w:p>
        </w:tc>
        <w:tc>
          <w:tcPr>
            <w:tcBorders>
              <w:top w:val="single" w:color="000000" w:sz="6" w:space="0"/>
              <w:left w:val="single" w:color="000000" w:sz="6" w:space="0"/>
              <w:bottom w:val="single" w:color="000000" w:sz="6" w:space="0"/>
              <w:right w:val="single" w:color="auto" w:sz="4" w:space="0"/>
            </w:tcBorders>
            <w:tcW w:w="2732" w:type="dxa"/>
            <w:vAlign w:val="center"/>
            <w:textDirection w:val="lrTb"/>
            <w:noWrap w:val="false"/>
          </w:tcPr>
          <w:p>
            <w:pPr>
              <w:ind w:left="0" w:right="0" w:firstLine="0"/>
              <w:jc w:val="center"/>
              <w:keepLines w:val="0"/>
              <w:keepNext w:val="0"/>
              <w:pageBreakBefore w:val="0"/>
              <w:spacing w:beforeAutospacing="0" w:afterAutospacing="0" w:line="320" w:lineRule="exact"/>
              <w:widowControl/>
              <w:rPr>
                <w:rFonts w:hint="default" w:ascii="仿宋_GB2312" w:hAnsi="仿宋_GB2312" w:cs="仿宋_GB2312"/>
                <w:sz w:val="28"/>
                <w:szCs w:val="28"/>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sz w:val="24"/>
                <w:szCs w:val="24"/>
                <w:highlight w:val="yellow"/>
                <w:lang w:val="en-US" w:eastAsia="zh-CN"/>
              </w:rPr>
              <w:t xml:space="preserve">▲</w:t>
            </w:r>
            <w:r>
              <w:rPr>
                <w:rFonts w:hint="eastAsia" w:ascii="仿宋_GB2312" w:hAnsi="仿宋_GB2312" w:cs="仿宋_GB2312"/>
                <w:sz w:val="28"/>
                <w:szCs w:val="28"/>
                <w:lang w:val="en-US" w:eastAsia="zh-CN" w:bidi="ar-SA"/>
              </w:rPr>
              <w:t xml:space="preserve">压缩室宽度</w:t>
            </w:r>
            <w:r/>
          </w:p>
        </w:tc>
        <w:tc>
          <w:tcPr>
            <w:tcBorders>
              <w:top w:val="single" w:color="000000" w:sz="6" w:space="0"/>
              <w:left w:val="single" w:color="auto" w:sz="4" w:space="0"/>
              <w:bottom w:val="single" w:color="000000" w:sz="6" w:space="0"/>
              <w:right w:val="single" w:color="auto" w:sz="4" w:space="0"/>
            </w:tcBorders>
            <w:tcW w:w="597" w:type="pct"/>
            <w:vAlign w:val="center"/>
            <w:textDirection w:val="lrTb"/>
            <w:noWrap w:val="false"/>
          </w:tcPr>
          <w:p>
            <w:pPr>
              <w:ind w:left="0" w:right="0" w:firstLine="0"/>
              <w:jc w:val="center"/>
              <w:keepLines w:val="0"/>
              <w:keepNext w:val="0"/>
              <w:pageBreakBefore w:val="0"/>
              <w:spacing w:beforeAutospacing="0" w:afterAutospacing="0" w:line="320" w:lineRule="exact"/>
              <w:widowControl/>
              <w:rPr>
                <w:rFonts w:hint="default" w:ascii="仿宋_GB2312" w:hAnsi="仿宋_GB2312" w:eastAsia="仿宋_GB2312" w:cs="仿宋_GB2312"/>
                <w:sz w:val="28"/>
                <w:szCs w:val="28"/>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仿宋_GB2312" w:hAnsi="仿宋_GB2312" w:cs="仿宋_GB2312"/>
                <w:sz w:val="28"/>
                <w:szCs w:val="28"/>
                <w:lang w:val="en-US" w:eastAsia="zh-CN" w:bidi="ar-SA"/>
              </w:rPr>
              <w:t xml:space="preserve">mm</w:t>
            </w:r>
            <w:r/>
          </w:p>
        </w:tc>
        <w:tc>
          <w:tcPr>
            <w:tcBorders>
              <w:top w:val="single" w:color="000000" w:sz="6" w:space="0"/>
              <w:left w:val="single" w:color="auto" w:sz="4" w:space="0"/>
              <w:bottom w:val="single" w:color="000000" w:sz="6" w:space="0"/>
              <w:right w:val="single" w:color="000000" w:sz="6" w:space="0"/>
            </w:tcBorders>
            <w:tcW w:w="1795" w:type="pct"/>
            <w:vAlign w:val="center"/>
            <w:textDirection w:val="lrTb"/>
            <w:noWrap w:val="false"/>
          </w:tcPr>
          <w:p>
            <w:pPr>
              <w:ind w:left="0" w:right="0" w:firstLine="0"/>
              <w:jc w:val="center"/>
              <w:keepLines w:val="0"/>
              <w:keepNext w:val="0"/>
              <w:pageBreakBefore w:val="0"/>
              <w:spacing w:beforeAutospacing="0" w:afterAutospacing="0" w:line="320" w:lineRule="exact"/>
              <w:widowControl/>
              <w:rPr>
                <w:rFonts w:hint="default" w:ascii="仿宋_GB2312" w:hAnsi="仿宋_GB2312" w:cs="仿宋_GB2312"/>
                <w:sz w:val="28"/>
                <w:szCs w:val="28"/>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仿宋_GB2312" w:hAnsi="仿宋_GB2312" w:cs="仿宋_GB2312"/>
                <w:sz w:val="28"/>
                <w:szCs w:val="28"/>
                <w:lang w:val="en-US" w:eastAsia="zh-CN" w:bidi="ar-SA"/>
              </w:rPr>
              <w:t xml:space="preserve">1400</w:t>
            </w:r>
            <w:r/>
          </w:p>
        </w:tc>
      </w:tr>
      <w:tr>
        <w:trPr>
          <w:jc w:val="center"/>
          <w:trHeight w:val="23"/>
        </w:trPr>
        <w:tc>
          <w:tcPr>
            <w:tcBorders>
              <w:left w:val="single" w:color="000000" w:sz="6" w:space="0"/>
              <w:right w:val="single" w:color="000000" w:sz="6" w:space="0"/>
            </w:tcBorders>
            <w:tcW w:w="1219" w:type="pct"/>
            <w:vAlign w:val="center"/>
            <w:vMerge w:val="continue"/>
            <w:textDirection w:val="lrTb"/>
            <w:noWrap w:val="false"/>
          </w:tcPr>
          <w:p>
            <w:pPr>
              <w:ind w:left="0" w:right="0" w:firstLine="0"/>
              <w:jc w:val="center"/>
              <w:keepLines w:val="0"/>
              <w:keepNext w:val="0"/>
              <w:pageBreakBefore w:val="0"/>
              <w:spacing w:beforeAutospacing="0" w:afterAutospacing="0" w:line="320" w:lineRule="exact"/>
              <w:widowControl/>
              <w:rPr>
                <w:rFonts w:hint="eastAsia" w:ascii="仿宋_GB2312" w:hAnsi="仿宋_GB2312" w:cs="仿宋_GB2312"/>
                <w:sz w:val="28"/>
                <w:szCs w:val="28"/>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仿宋_GB2312" w:hAnsi="仿宋_GB2312" w:cs="仿宋_GB2312"/>
                <w:sz w:val="28"/>
                <w:szCs w:val="28"/>
                <w:lang w:val="en-US" w:eastAsia="zh-CN" w:bidi="ar-SA"/>
              </w:rPr>
            </w:r>
            <w:r/>
          </w:p>
        </w:tc>
        <w:tc>
          <w:tcPr>
            <w:tcBorders>
              <w:top w:val="single" w:color="000000" w:sz="6" w:space="0"/>
              <w:left w:val="single" w:color="000000" w:sz="6" w:space="0"/>
              <w:bottom w:val="single" w:color="000000" w:sz="6" w:space="0"/>
              <w:right w:val="single" w:color="auto" w:sz="4" w:space="0"/>
            </w:tcBorders>
            <w:tcW w:w="2732" w:type="dxa"/>
            <w:vAlign w:val="center"/>
            <w:textDirection w:val="lrTb"/>
            <w:noWrap w:val="false"/>
          </w:tcPr>
          <w:p>
            <w:pPr>
              <w:ind w:left="0" w:right="0" w:firstLine="0"/>
              <w:jc w:val="center"/>
              <w:keepLines w:val="0"/>
              <w:keepNext w:val="0"/>
              <w:pageBreakBefore w:val="0"/>
              <w:spacing w:beforeAutospacing="0" w:afterAutospacing="0" w:line="320" w:lineRule="exact"/>
              <w:widowControl/>
              <w:rPr>
                <w:rFonts w:hint="default" w:ascii="仿宋_GB2312" w:hAnsi="仿宋_GB2312" w:cs="仿宋_GB2312"/>
                <w:sz w:val="28"/>
                <w:szCs w:val="28"/>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仿宋_GB2312" w:hAnsi="仿宋_GB2312" w:cs="仿宋_GB2312"/>
                <w:sz w:val="28"/>
                <w:szCs w:val="28"/>
                <w:lang w:val="en-US" w:eastAsia="zh-CN" w:bidi="ar-SA"/>
              </w:rPr>
              <w:t xml:space="preserve">压缩室直径</w:t>
            </w:r>
            <w:r/>
          </w:p>
        </w:tc>
        <w:tc>
          <w:tcPr>
            <w:tcBorders>
              <w:top w:val="single" w:color="000000" w:sz="6" w:space="0"/>
              <w:left w:val="single" w:color="auto" w:sz="4" w:space="0"/>
              <w:bottom w:val="single" w:color="000000" w:sz="6" w:space="0"/>
              <w:right w:val="single" w:color="auto" w:sz="4" w:space="0"/>
            </w:tcBorders>
            <w:tcW w:w="597" w:type="pct"/>
            <w:vAlign w:val="center"/>
            <w:textDirection w:val="lrTb"/>
            <w:noWrap w:val="false"/>
          </w:tcPr>
          <w:p>
            <w:pPr>
              <w:ind w:left="0" w:right="0" w:firstLine="0"/>
              <w:jc w:val="center"/>
              <w:keepLines w:val="0"/>
              <w:keepNext w:val="0"/>
              <w:pageBreakBefore w:val="0"/>
              <w:spacing w:beforeAutospacing="0" w:afterAutospacing="0" w:line="320" w:lineRule="exact"/>
              <w:widowControl/>
              <w:rPr>
                <w:rFonts w:hint="default" w:ascii="仿宋_GB2312" w:hAnsi="仿宋_GB2312" w:eastAsia="仿宋_GB2312" w:cs="仿宋_GB2312"/>
                <w:sz w:val="28"/>
                <w:szCs w:val="28"/>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仿宋_GB2312" w:hAnsi="仿宋_GB2312" w:cs="仿宋_GB2312"/>
                <w:sz w:val="28"/>
                <w:szCs w:val="28"/>
                <w:lang w:val="en-US" w:eastAsia="zh-CN" w:bidi="ar-SA"/>
              </w:rPr>
              <w:t xml:space="preserve">mm</w:t>
            </w:r>
            <w:r/>
          </w:p>
        </w:tc>
        <w:tc>
          <w:tcPr>
            <w:tcBorders>
              <w:top w:val="single" w:color="000000" w:sz="6" w:space="0"/>
              <w:left w:val="single" w:color="auto" w:sz="4" w:space="0"/>
              <w:bottom w:val="single" w:color="000000" w:sz="6" w:space="0"/>
              <w:right w:val="single" w:color="000000" w:sz="6" w:space="0"/>
            </w:tcBorders>
            <w:tcW w:w="1795" w:type="pct"/>
            <w:vAlign w:val="center"/>
            <w:textDirection w:val="lrTb"/>
            <w:noWrap w:val="false"/>
          </w:tcPr>
          <w:p>
            <w:pPr>
              <w:ind w:left="0" w:right="0" w:firstLine="0"/>
              <w:jc w:val="center"/>
              <w:keepLines w:val="0"/>
              <w:keepNext w:val="0"/>
              <w:pageBreakBefore w:val="0"/>
              <w:spacing w:beforeAutospacing="0" w:afterAutospacing="0" w:line="320" w:lineRule="exact"/>
              <w:widowControl/>
              <w:rPr>
                <w:rFonts w:hint="default" w:ascii="仿宋_GB2312" w:hAnsi="仿宋_GB2312" w:cs="仿宋_GB2312"/>
                <w:sz w:val="28"/>
                <w:szCs w:val="28"/>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仿宋_GB2312" w:hAnsi="仿宋_GB2312" w:cs="仿宋_GB2312"/>
                <w:sz w:val="28"/>
                <w:szCs w:val="28"/>
                <w:lang w:val="en-US" w:eastAsia="zh-CN" w:bidi="ar-SA"/>
              </w:rPr>
              <w:t xml:space="preserve">φ1200</w:t>
            </w:r>
            <w:r/>
          </w:p>
        </w:tc>
      </w:tr>
      <w:tr>
        <w:trPr>
          <w:jc w:val="center"/>
          <w:trHeight w:val="23"/>
        </w:trPr>
        <w:tc>
          <w:tcPr>
            <w:tcBorders>
              <w:left w:val="single" w:color="000000" w:sz="6" w:space="0"/>
              <w:right w:val="single" w:color="000000" w:sz="6" w:space="0"/>
            </w:tcBorders>
            <w:tcW w:w="1219" w:type="pct"/>
            <w:vAlign w:val="center"/>
            <w:vMerge w:val="continue"/>
            <w:textDirection w:val="lrTb"/>
            <w:noWrap w:val="false"/>
          </w:tcPr>
          <w:p>
            <w:pPr>
              <w:ind w:left="0" w:right="0" w:firstLine="0"/>
              <w:jc w:val="center"/>
              <w:keepLines w:val="0"/>
              <w:keepNext w:val="0"/>
              <w:pageBreakBefore w:val="0"/>
              <w:spacing w:beforeAutospacing="0" w:afterAutospacing="0" w:line="320" w:lineRule="exact"/>
              <w:widowControl/>
              <w:rPr>
                <w:rFonts w:hint="eastAsia" w:ascii="仿宋_GB2312" w:hAnsi="仿宋_GB2312" w:cs="仿宋_GB2312"/>
                <w:sz w:val="28"/>
                <w:szCs w:val="28"/>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仿宋_GB2312" w:hAnsi="仿宋_GB2312" w:cs="仿宋_GB2312"/>
                <w:sz w:val="28"/>
                <w:szCs w:val="28"/>
                <w:lang w:val="en-US" w:eastAsia="zh-CN" w:bidi="ar-SA"/>
              </w:rPr>
            </w:r>
            <w:r/>
          </w:p>
        </w:tc>
        <w:tc>
          <w:tcPr>
            <w:tcBorders>
              <w:top w:val="single" w:color="000000" w:sz="6" w:space="0"/>
              <w:left w:val="single" w:color="000000" w:sz="6" w:space="0"/>
              <w:bottom w:val="single" w:color="000000" w:sz="6" w:space="0"/>
              <w:right w:val="single" w:color="auto" w:sz="4" w:space="0"/>
            </w:tcBorders>
            <w:tcW w:w="2732" w:type="dxa"/>
            <w:vAlign w:val="center"/>
            <w:textDirection w:val="lrTb"/>
            <w:noWrap w:val="false"/>
          </w:tcPr>
          <w:p>
            <w:pPr>
              <w:ind w:left="0" w:right="0" w:firstLine="0"/>
              <w:jc w:val="center"/>
              <w:keepLines w:val="0"/>
              <w:keepNext w:val="0"/>
              <w:pageBreakBefore w:val="0"/>
              <w:spacing w:beforeAutospacing="0" w:afterAutospacing="0" w:line="320" w:lineRule="exact"/>
              <w:widowControl/>
              <w:rPr>
                <w:rFonts w:hint="default" w:ascii="仿宋_GB2312" w:hAnsi="仿宋_GB2312" w:cs="仿宋_GB2312"/>
                <w:sz w:val="28"/>
                <w:szCs w:val="28"/>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仿宋_GB2312" w:hAnsi="仿宋_GB2312" w:cs="仿宋_GB2312"/>
                <w:sz w:val="28"/>
                <w:szCs w:val="28"/>
                <w:lang w:val="en-US" w:eastAsia="zh-CN" w:bidi="ar-SA"/>
              </w:rPr>
              <w:t xml:space="preserve">卷压工作部件数量</w:t>
            </w:r>
            <w:r/>
          </w:p>
        </w:tc>
        <w:tc>
          <w:tcPr>
            <w:tcBorders>
              <w:top w:val="single" w:color="000000" w:sz="6" w:space="0"/>
              <w:left w:val="single" w:color="auto" w:sz="4" w:space="0"/>
              <w:bottom w:val="single" w:color="000000" w:sz="6" w:space="0"/>
              <w:right w:val="single" w:color="auto" w:sz="4" w:space="0"/>
            </w:tcBorders>
            <w:tcW w:w="597" w:type="pct"/>
            <w:vAlign w:val="center"/>
            <w:textDirection w:val="lrTb"/>
            <w:noWrap w:val="false"/>
          </w:tcPr>
          <w:p>
            <w:pPr>
              <w:ind w:left="0" w:right="0" w:firstLine="0"/>
              <w:jc w:val="center"/>
              <w:keepLines w:val="0"/>
              <w:keepNext w:val="0"/>
              <w:pageBreakBefore w:val="0"/>
              <w:spacing w:beforeAutospacing="0" w:afterAutospacing="0" w:line="320" w:lineRule="exact"/>
              <w:widowControl/>
              <w:rPr>
                <w:rFonts w:hint="default" w:ascii="仿宋_GB2312" w:hAnsi="仿宋_GB2312" w:eastAsia="仿宋_GB2312" w:cs="仿宋_GB2312"/>
                <w:sz w:val="28"/>
                <w:szCs w:val="28"/>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仿宋_GB2312" w:hAnsi="仿宋_GB2312" w:cs="仿宋_GB2312"/>
                <w:sz w:val="28"/>
                <w:szCs w:val="28"/>
                <w:lang w:val="en-US" w:eastAsia="zh-CN" w:bidi="ar-SA"/>
              </w:rPr>
              <w:t xml:space="preserve">个</w:t>
            </w:r>
            <w:r/>
          </w:p>
        </w:tc>
        <w:tc>
          <w:tcPr>
            <w:tcBorders>
              <w:top w:val="single" w:color="000000" w:sz="6" w:space="0"/>
              <w:left w:val="single" w:color="auto" w:sz="4" w:space="0"/>
              <w:bottom w:val="single" w:color="000000" w:sz="6" w:space="0"/>
              <w:right w:val="single" w:color="000000" w:sz="6" w:space="0"/>
            </w:tcBorders>
            <w:tcW w:w="1795" w:type="pct"/>
            <w:vAlign w:val="center"/>
            <w:textDirection w:val="lrTb"/>
            <w:noWrap w:val="false"/>
          </w:tcPr>
          <w:p>
            <w:pPr>
              <w:ind w:left="0" w:right="0" w:firstLine="0"/>
              <w:jc w:val="center"/>
              <w:keepLines w:val="0"/>
              <w:keepNext w:val="0"/>
              <w:pageBreakBefore w:val="0"/>
              <w:spacing w:beforeAutospacing="0" w:afterAutospacing="0" w:line="320" w:lineRule="exact"/>
              <w:widowControl/>
              <w:rPr>
                <w:rFonts w:hint="default" w:ascii="仿宋_GB2312" w:hAnsi="仿宋_GB2312" w:cs="仿宋_GB2312"/>
                <w:sz w:val="28"/>
                <w:szCs w:val="28"/>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仿宋_GB2312" w:hAnsi="仿宋_GB2312" w:cs="仿宋_GB2312"/>
                <w:sz w:val="28"/>
                <w:szCs w:val="28"/>
                <w:lang w:val="en-US" w:eastAsia="zh-CN" w:bidi="ar-SA"/>
              </w:rPr>
              <w:t xml:space="preserve">18（辊筒）</w:t>
            </w:r>
            <w:r/>
          </w:p>
        </w:tc>
      </w:tr>
      <w:tr>
        <w:trPr>
          <w:jc w:val="center"/>
          <w:trHeight w:val="23"/>
        </w:trPr>
        <w:tc>
          <w:tcPr>
            <w:tcBorders>
              <w:left w:val="single" w:color="000000" w:sz="6" w:space="0"/>
              <w:right w:val="single" w:color="000000" w:sz="6" w:space="0"/>
            </w:tcBorders>
            <w:tcW w:w="1219" w:type="pct"/>
            <w:vAlign w:val="center"/>
            <w:vMerge w:val="continue"/>
            <w:textDirection w:val="lrTb"/>
            <w:noWrap w:val="false"/>
          </w:tcPr>
          <w:p>
            <w:pPr>
              <w:ind w:left="0" w:right="0" w:firstLine="0"/>
              <w:jc w:val="center"/>
              <w:keepLines w:val="0"/>
              <w:keepNext w:val="0"/>
              <w:pageBreakBefore w:val="0"/>
              <w:spacing w:beforeAutospacing="0" w:afterAutospacing="0" w:line="320" w:lineRule="exact"/>
              <w:widowControl/>
              <w:rPr>
                <w:rFonts w:hint="eastAsia" w:ascii="仿宋_GB2312" w:hAnsi="仿宋_GB2312" w:cs="仿宋_GB2312"/>
                <w:sz w:val="28"/>
                <w:szCs w:val="28"/>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仿宋_GB2312" w:hAnsi="仿宋_GB2312" w:cs="仿宋_GB2312"/>
                <w:sz w:val="28"/>
                <w:szCs w:val="28"/>
                <w:lang w:val="en-US" w:eastAsia="zh-CN" w:bidi="ar-SA"/>
              </w:rPr>
            </w:r>
            <w:r/>
          </w:p>
        </w:tc>
        <w:tc>
          <w:tcPr>
            <w:tcBorders>
              <w:top w:val="single" w:color="000000" w:sz="6" w:space="0"/>
              <w:left w:val="single" w:color="000000" w:sz="6" w:space="0"/>
              <w:bottom w:val="single" w:color="000000" w:sz="6" w:space="0"/>
              <w:right w:val="single" w:color="auto" w:sz="4" w:space="0"/>
            </w:tcBorders>
            <w:tcW w:w="2732" w:type="dxa"/>
            <w:vAlign w:val="center"/>
            <w:textDirection w:val="lrTb"/>
            <w:noWrap w:val="false"/>
          </w:tcPr>
          <w:p>
            <w:pPr>
              <w:ind w:left="0" w:right="0" w:firstLine="0"/>
              <w:jc w:val="center"/>
              <w:keepLines w:val="0"/>
              <w:keepNext w:val="0"/>
              <w:pageBreakBefore w:val="0"/>
              <w:spacing w:beforeAutospacing="0" w:afterAutospacing="0" w:line="320" w:lineRule="exact"/>
              <w:widowControl/>
              <w:rPr>
                <w:rFonts w:hint="default" w:ascii="仿宋_GB2312" w:hAnsi="仿宋_GB2312" w:cs="仿宋_GB2312"/>
                <w:sz w:val="28"/>
                <w:szCs w:val="28"/>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仿宋_GB2312" w:hAnsi="仿宋_GB2312" w:cs="仿宋_GB2312"/>
                <w:sz w:val="28"/>
                <w:szCs w:val="28"/>
                <w:lang w:val="en-US" w:eastAsia="zh-CN" w:bidi="ar-SA"/>
              </w:rPr>
              <w:t xml:space="preserve">卷压滚筒直径</w:t>
            </w:r>
            <w:r/>
          </w:p>
        </w:tc>
        <w:tc>
          <w:tcPr>
            <w:tcBorders>
              <w:top w:val="single" w:color="000000" w:sz="6" w:space="0"/>
              <w:left w:val="single" w:color="auto" w:sz="4" w:space="0"/>
              <w:bottom w:val="single" w:color="000000" w:sz="6" w:space="0"/>
              <w:right w:val="single" w:color="auto" w:sz="4" w:space="0"/>
            </w:tcBorders>
            <w:tcW w:w="597" w:type="pct"/>
            <w:vAlign w:val="center"/>
            <w:textDirection w:val="lrTb"/>
            <w:noWrap w:val="false"/>
          </w:tcPr>
          <w:p>
            <w:pPr>
              <w:ind w:left="0" w:right="0" w:firstLine="0"/>
              <w:jc w:val="center"/>
              <w:keepLines w:val="0"/>
              <w:keepNext w:val="0"/>
              <w:pageBreakBefore w:val="0"/>
              <w:spacing w:beforeAutospacing="0" w:afterAutospacing="0" w:line="320" w:lineRule="exact"/>
              <w:widowControl/>
              <w:rPr>
                <w:rFonts w:hint="default" w:ascii="仿宋_GB2312" w:hAnsi="仿宋_GB2312" w:eastAsia="仿宋_GB2312" w:cs="仿宋_GB2312"/>
                <w:sz w:val="28"/>
                <w:szCs w:val="28"/>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仿宋_GB2312" w:hAnsi="仿宋_GB2312" w:cs="仿宋_GB2312"/>
                <w:sz w:val="28"/>
                <w:szCs w:val="28"/>
                <w:lang w:val="en-US" w:eastAsia="zh-CN" w:bidi="ar-SA"/>
              </w:rPr>
              <w:t xml:space="preserve">mm</w:t>
            </w:r>
            <w:r/>
          </w:p>
        </w:tc>
        <w:tc>
          <w:tcPr>
            <w:tcBorders>
              <w:top w:val="single" w:color="000000" w:sz="6" w:space="0"/>
              <w:left w:val="single" w:color="auto" w:sz="4" w:space="0"/>
              <w:bottom w:val="single" w:color="000000" w:sz="6" w:space="0"/>
              <w:right w:val="single" w:color="000000" w:sz="6" w:space="0"/>
            </w:tcBorders>
            <w:tcW w:w="1795" w:type="pct"/>
            <w:vAlign w:val="center"/>
            <w:textDirection w:val="lrTb"/>
            <w:noWrap w:val="false"/>
          </w:tcPr>
          <w:p>
            <w:pPr>
              <w:ind w:left="0" w:right="0" w:firstLine="0"/>
              <w:jc w:val="center"/>
              <w:keepLines w:val="0"/>
              <w:keepNext w:val="0"/>
              <w:pageBreakBefore w:val="0"/>
              <w:spacing w:beforeAutospacing="0" w:afterAutospacing="0" w:line="320" w:lineRule="exact"/>
              <w:widowControl/>
              <w:rPr>
                <w:rFonts w:hint="default" w:ascii="仿宋_GB2312" w:hAnsi="仿宋_GB2312" w:cs="仿宋_GB2312"/>
                <w:sz w:val="28"/>
                <w:szCs w:val="28"/>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仿宋_GB2312" w:hAnsi="仿宋_GB2312" w:cs="仿宋_GB2312"/>
                <w:sz w:val="28"/>
                <w:szCs w:val="28"/>
                <w:lang w:val="en-US" w:eastAsia="zh-CN" w:bidi="ar-SA"/>
              </w:rPr>
              <w:t xml:space="preserve">Φ222</w:t>
            </w:r>
            <w:r/>
          </w:p>
        </w:tc>
      </w:tr>
      <w:tr>
        <w:trPr>
          <w:jc w:val="center"/>
          <w:trHeight w:val="23"/>
        </w:trPr>
        <w:tc>
          <w:tcPr>
            <w:tcBorders>
              <w:left w:val="single" w:color="000000" w:sz="6" w:space="0"/>
              <w:right w:val="single" w:color="000000" w:sz="6" w:space="0"/>
            </w:tcBorders>
            <w:tcW w:w="1219" w:type="pct"/>
            <w:vAlign w:val="center"/>
            <w:vMerge w:val="continue"/>
            <w:textDirection w:val="lrTb"/>
            <w:noWrap w:val="false"/>
          </w:tcPr>
          <w:p>
            <w:pPr>
              <w:ind w:left="0" w:right="0" w:firstLine="0"/>
              <w:jc w:val="center"/>
              <w:keepLines w:val="0"/>
              <w:keepNext w:val="0"/>
              <w:pageBreakBefore w:val="0"/>
              <w:spacing w:beforeAutospacing="0" w:afterAutospacing="0" w:line="320" w:lineRule="exact"/>
              <w:widowControl/>
              <w:rPr>
                <w:rFonts w:hint="eastAsia" w:ascii="仿宋_GB2312" w:hAnsi="仿宋_GB2312" w:cs="仿宋_GB2312"/>
                <w:sz w:val="28"/>
                <w:szCs w:val="28"/>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仿宋_GB2312" w:hAnsi="仿宋_GB2312" w:cs="仿宋_GB2312"/>
                <w:sz w:val="28"/>
                <w:szCs w:val="28"/>
                <w:lang w:val="en-US" w:eastAsia="zh-CN" w:bidi="ar-SA"/>
              </w:rPr>
            </w:r>
            <w:r/>
          </w:p>
        </w:tc>
        <w:tc>
          <w:tcPr>
            <w:tcBorders>
              <w:top w:val="single" w:color="000000" w:sz="6" w:space="0"/>
              <w:left w:val="single" w:color="000000" w:sz="6" w:space="0"/>
              <w:bottom w:val="single" w:color="000000" w:sz="6" w:space="0"/>
              <w:right w:val="single" w:color="auto" w:sz="4" w:space="0"/>
            </w:tcBorders>
            <w:tcW w:w="2732" w:type="dxa"/>
            <w:vAlign w:val="center"/>
            <w:textDirection w:val="lrTb"/>
            <w:noWrap w:val="false"/>
          </w:tcPr>
          <w:p>
            <w:pPr>
              <w:ind w:left="0" w:right="0" w:firstLine="0"/>
              <w:jc w:val="center"/>
              <w:keepLines w:val="0"/>
              <w:keepNext w:val="0"/>
              <w:pageBreakBefore w:val="0"/>
              <w:spacing w:beforeAutospacing="0" w:afterAutospacing="0" w:line="320" w:lineRule="exact"/>
              <w:widowControl/>
              <w:rPr>
                <w:rFonts w:hint="default" w:ascii="仿宋_GB2312" w:hAnsi="仿宋_GB2312" w:cs="仿宋_GB2312"/>
                <w:sz w:val="28"/>
                <w:szCs w:val="28"/>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仿宋_GB2312" w:hAnsi="仿宋_GB2312" w:cs="仿宋_GB2312"/>
                <w:sz w:val="28"/>
                <w:szCs w:val="28"/>
                <w:lang w:val="en-US" w:eastAsia="zh-CN" w:bidi="ar-SA"/>
              </w:rPr>
              <w:t xml:space="preserve">捆扎方式</w:t>
            </w:r>
            <w:r/>
          </w:p>
        </w:tc>
        <w:tc>
          <w:tcPr>
            <w:tcBorders>
              <w:top w:val="single" w:color="000000" w:sz="6" w:space="0"/>
              <w:left w:val="single" w:color="auto" w:sz="4" w:space="0"/>
              <w:bottom w:val="single" w:color="000000" w:sz="6" w:space="0"/>
              <w:right w:val="single" w:color="auto" w:sz="4" w:space="0"/>
            </w:tcBorders>
            <w:tcW w:w="597" w:type="pct"/>
            <w:vAlign w:val="center"/>
            <w:textDirection w:val="lrTb"/>
            <w:noWrap w:val="false"/>
          </w:tcPr>
          <w:p>
            <w:pPr>
              <w:ind w:left="0" w:right="0" w:firstLine="0"/>
              <w:jc w:val="center"/>
              <w:keepLines w:val="0"/>
              <w:keepNext w:val="0"/>
              <w:pageBreakBefore w:val="0"/>
              <w:spacing w:beforeAutospacing="0" w:afterAutospacing="0" w:line="320" w:lineRule="exact"/>
              <w:widowControl/>
              <w:rPr>
                <w:rFonts w:hint="default" w:ascii="仿宋_GB2312" w:hAnsi="仿宋_GB2312" w:eastAsia="仿宋_GB2312" w:cs="仿宋_GB2312"/>
                <w:sz w:val="28"/>
                <w:szCs w:val="28"/>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default" w:ascii="仿宋_GB2312" w:hAnsi="仿宋_GB2312" w:eastAsia="仿宋_GB2312" w:cs="仿宋_GB2312"/>
                <w:sz w:val="28"/>
                <w:szCs w:val="28"/>
                <w:lang w:val="en-US" w:eastAsia="zh-CN" w:bidi="ar-SA"/>
              </w:rPr>
            </w:r>
            <w:r/>
          </w:p>
        </w:tc>
        <w:tc>
          <w:tcPr>
            <w:tcBorders>
              <w:top w:val="single" w:color="000000" w:sz="6" w:space="0"/>
              <w:left w:val="single" w:color="auto" w:sz="4" w:space="0"/>
              <w:bottom w:val="single" w:color="000000" w:sz="6" w:space="0"/>
              <w:right w:val="single" w:color="000000" w:sz="6" w:space="0"/>
            </w:tcBorders>
            <w:tcW w:w="1795" w:type="pct"/>
            <w:vAlign w:val="center"/>
            <w:textDirection w:val="lrTb"/>
            <w:noWrap w:val="false"/>
          </w:tcPr>
          <w:p>
            <w:pPr>
              <w:ind w:left="0" w:right="0" w:firstLine="0"/>
              <w:jc w:val="center"/>
              <w:keepLines w:val="0"/>
              <w:keepNext w:val="0"/>
              <w:pageBreakBefore w:val="0"/>
              <w:spacing w:beforeAutospacing="0" w:afterAutospacing="0" w:line="320" w:lineRule="exact"/>
              <w:widowControl/>
              <w:rPr>
                <w:rFonts w:hint="default" w:ascii="仿宋_GB2312" w:hAnsi="仿宋_GB2312" w:cs="仿宋_GB2312"/>
                <w:sz w:val="28"/>
                <w:szCs w:val="28"/>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仿宋_GB2312" w:hAnsi="仿宋_GB2312" w:cs="仿宋_GB2312"/>
                <w:sz w:val="28"/>
                <w:szCs w:val="28"/>
                <w:lang w:val="en-US" w:eastAsia="zh-CN" w:bidi="ar-SA"/>
              </w:rPr>
              <w:t xml:space="preserve">缠网</w:t>
            </w:r>
            <w:r/>
          </w:p>
        </w:tc>
      </w:tr>
      <w:tr>
        <w:trPr>
          <w:jc w:val="center"/>
          <w:trHeight w:val="23"/>
        </w:trPr>
        <w:tc>
          <w:tcPr>
            <w:tcBorders>
              <w:left w:val="single" w:color="000000" w:sz="6" w:space="0"/>
              <w:right w:val="single" w:color="000000" w:sz="6" w:space="0"/>
            </w:tcBorders>
            <w:tcW w:w="1219" w:type="pct"/>
            <w:vAlign w:val="center"/>
            <w:vMerge w:val="continue"/>
            <w:textDirection w:val="lrTb"/>
            <w:noWrap w:val="false"/>
          </w:tcPr>
          <w:p>
            <w:pPr>
              <w:ind w:left="0" w:right="0" w:firstLine="0"/>
              <w:jc w:val="center"/>
              <w:keepLines w:val="0"/>
              <w:keepNext w:val="0"/>
              <w:pageBreakBefore w:val="0"/>
              <w:spacing w:beforeAutospacing="0" w:afterAutospacing="0" w:line="320" w:lineRule="exact"/>
              <w:widowControl/>
              <w:rPr>
                <w:rFonts w:hint="eastAsia" w:ascii="仿宋_GB2312" w:hAnsi="仿宋_GB2312" w:cs="仿宋_GB2312"/>
                <w:sz w:val="28"/>
                <w:szCs w:val="28"/>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仿宋_GB2312" w:hAnsi="仿宋_GB2312" w:cs="仿宋_GB2312"/>
                <w:sz w:val="28"/>
                <w:szCs w:val="28"/>
                <w:lang w:val="en-US" w:eastAsia="zh-CN" w:bidi="ar-SA"/>
              </w:rPr>
            </w:r>
            <w:r/>
          </w:p>
        </w:tc>
        <w:tc>
          <w:tcPr>
            <w:tcBorders>
              <w:top w:val="single" w:color="000000" w:sz="6" w:space="0"/>
              <w:left w:val="single" w:color="000000" w:sz="6" w:space="0"/>
              <w:bottom w:val="single" w:color="000000" w:sz="6" w:space="0"/>
              <w:right w:val="single" w:color="auto" w:sz="4" w:space="0"/>
            </w:tcBorders>
            <w:tcW w:w="2732" w:type="dxa"/>
            <w:vAlign w:val="center"/>
            <w:textDirection w:val="lrTb"/>
            <w:noWrap w:val="false"/>
          </w:tcPr>
          <w:p>
            <w:pPr>
              <w:ind w:left="0" w:right="0" w:firstLine="0"/>
              <w:jc w:val="center"/>
              <w:keepLines w:val="0"/>
              <w:keepNext w:val="0"/>
              <w:pageBreakBefore w:val="0"/>
              <w:spacing w:beforeAutospacing="0" w:afterAutospacing="0" w:line="320" w:lineRule="exact"/>
              <w:widowControl/>
              <w:rPr>
                <w:rFonts w:hint="default" w:ascii="仿宋_GB2312" w:hAnsi="仿宋_GB2312" w:cs="仿宋_GB2312"/>
                <w:sz w:val="28"/>
                <w:szCs w:val="28"/>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sz w:val="24"/>
                <w:szCs w:val="24"/>
                <w:highlight w:val="yellow"/>
                <w:lang w:val="en-US" w:eastAsia="zh-CN"/>
              </w:rPr>
              <w:t xml:space="preserve">▲</w:t>
            </w:r>
            <w:r>
              <w:rPr>
                <w:rFonts w:hint="eastAsia" w:ascii="仿宋_GB2312" w:hAnsi="仿宋_GB2312" w:cs="仿宋_GB2312"/>
                <w:sz w:val="28"/>
                <w:szCs w:val="28"/>
                <w:lang w:val="en-US" w:eastAsia="zh-CN" w:bidi="ar-SA"/>
              </w:rPr>
              <w:t xml:space="preserve">配套动力</w:t>
            </w:r>
            <w:r/>
          </w:p>
        </w:tc>
        <w:tc>
          <w:tcPr>
            <w:tcBorders>
              <w:top w:val="single" w:color="000000" w:sz="6" w:space="0"/>
              <w:left w:val="single" w:color="auto" w:sz="4" w:space="0"/>
              <w:bottom w:val="single" w:color="000000" w:sz="6" w:space="0"/>
              <w:right w:val="single" w:color="auto" w:sz="4" w:space="0"/>
            </w:tcBorders>
            <w:tcW w:w="597" w:type="pct"/>
            <w:vAlign w:val="center"/>
            <w:textDirection w:val="lrTb"/>
            <w:noWrap w:val="false"/>
          </w:tcPr>
          <w:p>
            <w:pPr>
              <w:ind w:left="0" w:right="0" w:firstLine="0"/>
              <w:jc w:val="center"/>
              <w:keepLines w:val="0"/>
              <w:keepNext w:val="0"/>
              <w:pageBreakBefore w:val="0"/>
              <w:spacing w:beforeAutospacing="0" w:afterAutospacing="0" w:line="320" w:lineRule="exact"/>
              <w:widowControl/>
              <w:rPr>
                <w:rFonts w:hint="default" w:ascii="仿宋_GB2312" w:hAnsi="仿宋_GB2312" w:eastAsia="仿宋_GB2312" w:cs="仿宋_GB2312"/>
                <w:sz w:val="28"/>
                <w:szCs w:val="28"/>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仿宋_GB2312" w:hAnsi="仿宋_GB2312" w:cs="仿宋_GB2312"/>
                <w:sz w:val="28"/>
                <w:szCs w:val="28"/>
                <w:lang w:val="en-US" w:eastAsia="zh-CN" w:bidi="ar-SA"/>
              </w:rPr>
              <w:t xml:space="preserve">kW</w:t>
            </w:r>
            <w:r/>
          </w:p>
        </w:tc>
        <w:tc>
          <w:tcPr>
            <w:tcBorders>
              <w:top w:val="single" w:color="000000" w:sz="6" w:space="0"/>
              <w:left w:val="single" w:color="auto" w:sz="4" w:space="0"/>
              <w:bottom w:val="single" w:color="000000" w:sz="6" w:space="0"/>
              <w:right w:val="single" w:color="000000" w:sz="6" w:space="0"/>
            </w:tcBorders>
            <w:tcW w:w="1795" w:type="pct"/>
            <w:vAlign w:val="center"/>
            <w:textDirection w:val="lrTb"/>
            <w:noWrap w:val="false"/>
          </w:tcPr>
          <w:p>
            <w:pPr>
              <w:ind w:left="0" w:right="0" w:firstLine="0"/>
              <w:jc w:val="center"/>
              <w:keepLines w:val="0"/>
              <w:keepNext w:val="0"/>
              <w:pageBreakBefore w:val="0"/>
              <w:spacing w:beforeAutospacing="0" w:afterAutospacing="0" w:line="320" w:lineRule="exact"/>
              <w:widowControl/>
              <w:rPr>
                <w:rFonts w:hint="default" w:ascii="仿宋_GB2312" w:hAnsi="仿宋_GB2312" w:cs="仿宋_GB2312"/>
                <w:sz w:val="28"/>
                <w:szCs w:val="28"/>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仿宋_GB2312" w:hAnsi="仿宋_GB2312" w:cs="仿宋_GB2312"/>
                <w:sz w:val="28"/>
                <w:szCs w:val="28"/>
                <w:lang w:val="en-US" w:eastAsia="zh-CN" w:bidi="ar-SA"/>
              </w:rPr>
              <w:t xml:space="preserve">55-100</w:t>
            </w:r>
            <w:r/>
          </w:p>
        </w:tc>
      </w:tr>
      <w:tr>
        <w:trPr>
          <w:jc w:val="center"/>
          <w:trHeight w:val="23"/>
        </w:trPr>
        <w:tc>
          <w:tcPr>
            <w:tcBorders>
              <w:left w:val="single" w:color="000000" w:sz="6" w:space="0"/>
              <w:right w:val="single" w:color="000000" w:sz="6" w:space="0"/>
            </w:tcBorders>
            <w:tcW w:w="1219" w:type="pct"/>
            <w:vAlign w:val="center"/>
            <w:vMerge w:val="continue"/>
            <w:textDirection w:val="lrTb"/>
            <w:noWrap w:val="false"/>
          </w:tcPr>
          <w:p>
            <w:pPr>
              <w:ind w:left="0" w:right="0" w:firstLine="0"/>
              <w:jc w:val="center"/>
              <w:keepLines w:val="0"/>
              <w:keepNext w:val="0"/>
              <w:pageBreakBefore w:val="0"/>
              <w:spacing w:beforeAutospacing="0" w:afterAutospacing="0" w:line="320" w:lineRule="exact"/>
              <w:widowControl/>
              <w:rPr>
                <w:rFonts w:hint="eastAsia" w:ascii="仿宋_GB2312" w:hAnsi="仿宋_GB2312" w:cs="仿宋_GB2312"/>
                <w:sz w:val="28"/>
                <w:szCs w:val="28"/>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仿宋_GB2312" w:hAnsi="仿宋_GB2312" w:cs="仿宋_GB2312"/>
                <w:sz w:val="28"/>
                <w:szCs w:val="28"/>
                <w:lang w:val="en-US" w:eastAsia="zh-CN" w:bidi="ar-SA"/>
              </w:rPr>
            </w:r>
            <w:r/>
          </w:p>
        </w:tc>
        <w:tc>
          <w:tcPr>
            <w:tcBorders>
              <w:top w:val="single" w:color="000000" w:sz="6" w:space="0"/>
              <w:left w:val="single" w:color="000000" w:sz="6" w:space="0"/>
              <w:bottom w:val="single" w:color="000000" w:sz="6" w:space="0"/>
              <w:right w:val="single" w:color="auto" w:sz="4" w:space="0"/>
            </w:tcBorders>
            <w:tcW w:w="1387" w:type="pct"/>
            <w:vAlign w:val="center"/>
            <w:textDirection w:val="lrTb"/>
            <w:noWrap w:val="false"/>
          </w:tcPr>
          <w:p>
            <w:pPr>
              <w:ind w:left="0" w:right="0" w:firstLine="0"/>
              <w:jc w:val="center"/>
              <w:keepLines w:val="0"/>
              <w:keepNext w:val="0"/>
              <w:pageBreakBefore w:val="0"/>
              <w:spacing w:beforeAutospacing="0" w:afterAutospacing="0" w:line="320" w:lineRule="exact"/>
              <w:widowControl/>
              <w:rPr>
                <w:rFonts w:hint="default" w:ascii="仿宋_GB2312" w:hAnsi="仿宋_GB2312" w:cs="仿宋_GB2312"/>
                <w:sz w:val="28"/>
                <w:szCs w:val="28"/>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sz w:val="24"/>
                <w:szCs w:val="24"/>
                <w:highlight w:val="yellow"/>
                <w:lang w:val="en-US" w:eastAsia="zh-CN"/>
              </w:rPr>
              <w:t xml:space="preserve">▲</w:t>
            </w:r>
            <w:r>
              <w:rPr>
                <w:rFonts w:hint="eastAsia" w:ascii="仿宋_GB2312" w:hAnsi="仿宋_GB2312" w:cs="仿宋_GB2312"/>
                <w:sz w:val="28"/>
                <w:szCs w:val="28"/>
                <w:lang w:val="en-US" w:eastAsia="zh-CN" w:bidi="ar-SA"/>
              </w:rPr>
              <w:t xml:space="preserve">整机质量</w:t>
            </w:r>
            <w:r/>
          </w:p>
        </w:tc>
        <w:tc>
          <w:tcPr>
            <w:tcBorders>
              <w:top w:val="single" w:color="000000" w:sz="6" w:space="0"/>
              <w:left w:val="single" w:color="auto" w:sz="4" w:space="0"/>
              <w:bottom w:val="single" w:color="000000" w:sz="6" w:space="0"/>
              <w:right w:val="single" w:color="auto" w:sz="4" w:space="0"/>
            </w:tcBorders>
            <w:tcW w:w="597" w:type="pct"/>
            <w:vAlign w:val="center"/>
            <w:textDirection w:val="lrTb"/>
            <w:noWrap w:val="false"/>
          </w:tcPr>
          <w:p>
            <w:pPr>
              <w:ind w:left="0" w:right="0" w:firstLine="0"/>
              <w:jc w:val="center"/>
              <w:keepLines w:val="0"/>
              <w:keepNext w:val="0"/>
              <w:pageBreakBefore w:val="0"/>
              <w:spacing w:beforeAutospacing="0" w:afterAutospacing="0" w:line="320" w:lineRule="exact"/>
              <w:widowControl/>
              <w:rPr>
                <w:rFonts w:hint="default" w:ascii="仿宋_GB2312" w:hAnsi="仿宋_GB2312" w:eastAsia="仿宋_GB2312" w:cs="仿宋_GB2312"/>
                <w:sz w:val="28"/>
                <w:szCs w:val="28"/>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仿宋_GB2312" w:hAnsi="仿宋_GB2312" w:cs="仿宋_GB2312"/>
                <w:sz w:val="28"/>
                <w:szCs w:val="28"/>
                <w:lang w:val="en-US" w:eastAsia="zh-CN" w:bidi="ar-SA"/>
              </w:rPr>
              <w:t xml:space="preserve">kg</w:t>
            </w:r>
            <w:r/>
          </w:p>
        </w:tc>
        <w:tc>
          <w:tcPr>
            <w:tcBorders>
              <w:top w:val="single" w:color="000000" w:sz="6" w:space="0"/>
              <w:left w:val="single" w:color="auto" w:sz="4" w:space="0"/>
              <w:bottom w:val="single" w:color="000000" w:sz="6" w:space="0"/>
              <w:right w:val="single" w:color="000000" w:sz="6" w:space="0"/>
            </w:tcBorders>
            <w:tcW w:w="1795" w:type="pct"/>
            <w:vAlign w:val="center"/>
            <w:textDirection w:val="lrTb"/>
            <w:noWrap w:val="false"/>
          </w:tcPr>
          <w:p>
            <w:pPr>
              <w:ind w:left="0" w:right="0" w:firstLine="0"/>
              <w:jc w:val="center"/>
              <w:keepLines w:val="0"/>
              <w:keepNext w:val="0"/>
              <w:pageBreakBefore w:val="0"/>
              <w:spacing w:beforeAutospacing="0" w:afterAutospacing="0" w:line="320" w:lineRule="exact"/>
              <w:widowControl/>
              <w:rPr>
                <w:rFonts w:hint="default" w:ascii="仿宋_GB2312" w:hAnsi="仿宋_GB2312" w:cs="仿宋_GB2312"/>
                <w:sz w:val="28"/>
                <w:szCs w:val="28"/>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仿宋_GB2312" w:hAnsi="仿宋_GB2312" w:cs="仿宋_GB2312"/>
                <w:sz w:val="28"/>
                <w:szCs w:val="28"/>
                <w:lang w:val="en-US" w:eastAsia="zh-CN" w:bidi="ar-SA"/>
              </w:rPr>
              <w:t xml:space="preserve">≥4570</w:t>
            </w:r>
            <w:r/>
          </w:p>
        </w:tc>
      </w:tr>
      <w:tr>
        <w:trPr>
          <w:jc w:val="center"/>
          <w:trHeight w:val="23"/>
        </w:trPr>
        <w:tc>
          <w:tcPr>
            <w:tcBorders>
              <w:left w:val="single" w:color="000000" w:sz="6" w:space="0"/>
              <w:right w:val="single" w:color="000000" w:sz="6" w:space="0"/>
            </w:tcBorders>
            <w:tcW w:w="1219" w:type="pct"/>
            <w:vAlign w:val="center"/>
            <w:vMerge w:val="continue"/>
            <w:textDirection w:val="lrTb"/>
            <w:noWrap w:val="false"/>
          </w:tcPr>
          <w:p>
            <w:pPr>
              <w:ind w:left="0" w:right="0" w:firstLine="0"/>
              <w:jc w:val="center"/>
              <w:keepLines w:val="0"/>
              <w:keepNext w:val="0"/>
              <w:pageBreakBefore w:val="0"/>
              <w:spacing w:beforeAutospacing="0" w:afterAutospacing="0" w:line="320" w:lineRule="exact"/>
              <w:widowControl/>
              <w:rPr>
                <w:rFonts w:hint="eastAsia" w:ascii="仿宋_GB2312" w:hAnsi="仿宋_GB2312" w:cs="仿宋_GB2312"/>
                <w:sz w:val="28"/>
                <w:szCs w:val="28"/>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仿宋_GB2312" w:hAnsi="仿宋_GB2312" w:cs="仿宋_GB2312"/>
                <w:sz w:val="28"/>
                <w:szCs w:val="28"/>
                <w:lang w:val="en-US" w:eastAsia="zh-CN" w:bidi="ar-SA"/>
              </w:rPr>
            </w:r>
            <w:r/>
          </w:p>
        </w:tc>
        <w:tc>
          <w:tcPr>
            <w:tcBorders>
              <w:top w:val="single" w:color="000000" w:sz="6" w:space="0"/>
              <w:left w:val="single" w:color="000000" w:sz="6" w:space="0"/>
              <w:bottom w:val="single" w:color="000000" w:sz="6" w:space="0"/>
              <w:right w:val="single" w:color="auto" w:sz="4" w:space="0"/>
            </w:tcBorders>
            <w:tcW w:w="1387" w:type="pct"/>
            <w:vAlign w:val="center"/>
            <w:textDirection w:val="lrTb"/>
            <w:noWrap w:val="false"/>
          </w:tcPr>
          <w:p>
            <w:pPr>
              <w:ind w:left="0" w:right="0" w:firstLine="0"/>
              <w:jc w:val="center"/>
              <w:keepLines w:val="0"/>
              <w:keepNext w:val="0"/>
              <w:pageBreakBefore w:val="0"/>
              <w:spacing w:beforeAutospacing="0" w:afterAutospacing="0" w:line="320" w:lineRule="exact"/>
              <w:widowControl/>
              <w:rPr>
                <w:rFonts w:hint="default" w:ascii="仿宋_GB2312" w:hAnsi="仿宋_GB2312" w:cs="仿宋_GB2312"/>
                <w:sz w:val="28"/>
                <w:szCs w:val="28"/>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仿宋_GB2312" w:hAnsi="仿宋_GB2312" w:cs="仿宋_GB2312"/>
                <w:sz w:val="28"/>
                <w:szCs w:val="28"/>
                <w:lang w:val="en-US" w:eastAsia="zh-CN" w:bidi="ar-SA"/>
              </w:rPr>
              <w:t xml:space="preserve">动力输出轴转速</w:t>
            </w:r>
            <w:r/>
          </w:p>
        </w:tc>
        <w:tc>
          <w:tcPr>
            <w:tcBorders>
              <w:top w:val="single" w:color="000000" w:sz="6" w:space="0"/>
              <w:left w:val="single" w:color="auto" w:sz="4" w:space="0"/>
              <w:bottom w:val="single" w:color="000000" w:sz="6" w:space="0"/>
              <w:right w:val="single" w:color="auto" w:sz="4" w:space="0"/>
            </w:tcBorders>
            <w:tcW w:w="597" w:type="pct"/>
            <w:vAlign w:val="center"/>
            <w:textDirection w:val="lrTb"/>
            <w:noWrap w:val="false"/>
          </w:tcPr>
          <w:p>
            <w:pPr>
              <w:ind w:left="0" w:right="0" w:firstLine="0"/>
              <w:jc w:val="center"/>
              <w:keepLines w:val="0"/>
              <w:keepNext w:val="0"/>
              <w:pageBreakBefore w:val="0"/>
              <w:spacing w:beforeAutospacing="0" w:afterAutospacing="0" w:line="320" w:lineRule="exact"/>
              <w:widowControl/>
              <w:rPr>
                <w:rFonts w:hint="default" w:ascii="仿宋_GB2312" w:hAnsi="仿宋_GB2312" w:eastAsia="仿宋_GB2312" w:cs="仿宋_GB2312"/>
                <w:sz w:val="28"/>
                <w:szCs w:val="28"/>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仿宋_GB2312" w:hAnsi="仿宋_GB2312" w:cs="仿宋_GB2312"/>
                <w:sz w:val="28"/>
                <w:szCs w:val="28"/>
                <w:lang w:val="en-US" w:eastAsia="zh-CN" w:bidi="ar-SA"/>
              </w:rPr>
              <w:t xml:space="preserve">r/min</w:t>
            </w:r>
            <w:r/>
          </w:p>
        </w:tc>
        <w:tc>
          <w:tcPr>
            <w:tcBorders>
              <w:top w:val="single" w:color="000000" w:sz="6" w:space="0"/>
              <w:left w:val="single" w:color="auto" w:sz="4" w:space="0"/>
              <w:bottom w:val="single" w:color="000000" w:sz="6" w:space="0"/>
              <w:right w:val="single" w:color="000000" w:sz="6" w:space="0"/>
            </w:tcBorders>
            <w:tcW w:w="1795" w:type="pct"/>
            <w:vAlign w:val="center"/>
            <w:textDirection w:val="lrTb"/>
            <w:noWrap w:val="false"/>
          </w:tcPr>
          <w:p>
            <w:pPr>
              <w:ind w:left="0" w:right="0" w:firstLine="0"/>
              <w:jc w:val="center"/>
              <w:keepLines w:val="0"/>
              <w:keepNext w:val="0"/>
              <w:pageBreakBefore w:val="0"/>
              <w:spacing w:beforeAutospacing="0" w:afterAutospacing="0" w:line="320" w:lineRule="exact"/>
              <w:widowControl/>
              <w:rPr>
                <w:rFonts w:hint="default" w:ascii="仿宋_GB2312" w:hAnsi="仿宋_GB2312" w:cs="仿宋_GB2312"/>
                <w:sz w:val="28"/>
                <w:szCs w:val="28"/>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仿宋_GB2312" w:hAnsi="仿宋_GB2312" w:cs="仿宋_GB2312"/>
                <w:sz w:val="28"/>
                <w:szCs w:val="28"/>
                <w:lang w:val="en-US" w:eastAsia="zh-CN" w:bidi="ar-SA"/>
              </w:rPr>
              <w:t xml:space="preserve">720</w:t>
            </w:r>
            <w:r/>
          </w:p>
        </w:tc>
      </w:tr>
      <w:tr>
        <w:trPr>
          <w:jc w:val="center"/>
          <w:trHeight w:val="23"/>
        </w:trPr>
        <w:tc>
          <w:tcPr>
            <w:tcBorders>
              <w:left w:val="single" w:color="000000" w:sz="6" w:space="0"/>
              <w:right w:val="single" w:color="000000" w:sz="6" w:space="0"/>
            </w:tcBorders>
            <w:tcW w:w="1219" w:type="pct"/>
            <w:vAlign w:val="center"/>
            <w:vMerge w:val="continue"/>
            <w:textDirection w:val="lrTb"/>
            <w:noWrap w:val="false"/>
          </w:tcPr>
          <w:p>
            <w:pPr>
              <w:ind w:left="0" w:right="0" w:firstLine="0"/>
              <w:jc w:val="center"/>
              <w:keepLines w:val="0"/>
              <w:keepNext w:val="0"/>
              <w:pageBreakBefore w:val="0"/>
              <w:spacing w:beforeAutospacing="0" w:afterAutospacing="0" w:line="320" w:lineRule="exact"/>
              <w:widowControl/>
              <w:rPr>
                <w:rFonts w:hint="eastAsia" w:ascii="仿宋_GB2312" w:hAnsi="仿宋_GB2312" w:cs="仿宋_GB2312"/>
                <w:sz w:val="28"/>
                <w:szCs w:val="28"/>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仿宋_GB2312" w:hAnsi="仿宋_GB2312" w:cs="仿宋_GB2312"/>
                <w:sz w:val="28"/>
                <w:szCs w:val="28"/>
                <w:lang w:val="en-US" w:eastAsia="zh-CN" w:bidi="ar-SA"/>
              </w:rPr>
            </w:r>
            <w:r/>
          </w:p>
        </w:tc>
        <w:tc>
          <w:tcPr>
            <w:tcBorders>
              <w:top w:val="single" w:color="000000" w:sz="6" w:space="0"/>
              <w:left w:val="single" w:color="000000" w:sz="6" w:space="0"/>
              <w:bottom w:val="single" w:color="000000" w:sz="6" w:space="0"/>
              <w:right w:val="single" w:color="auto" w:sz="4" w:space="0"/>
            </w:tcBorders>
            <w:tcW w:w="1387" w:type="pct"/>
            <w:vAlign w:val="center"/>
            <w:textDirection w:val="lrTb"/>
            <w:noWrap w:val="false"/>
          </w:tcPr>
          <w:p>
            <w:pPr>
              <w:ind w:left="0" w:right="0" w:firstLine="0"/>
              <w:jc w:val="center"/>
              <w:keepLines w:val="0"/>
              <w:keepNext w:val="0"/>
              <w:pageBreakBefore w:val="0"/>
              <w:spacing w:beforeAutospacing="0" w:afterAutospacing="0" w:line="320" w:lineRule="exact"/>
              <w:widowControl/>
              <w:rPr>
                <w:rFonts w:hint="default" w:ascii="仿宋_GB2312" w:hAnsi="仿宋_GB2312" w:cs="仿宋_GB2312"/>
                <w:sz w:val="28"/>
                <w:szCs w:val="28"/>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仿宋_GB2312" w:hAnsi="仿宋_GB2312" w:cs="仿宋_GB2312"/>
                <w:sz w:val="28"/>
                <w:szCs w:val="28"/>
                <w:lang w:val="en-US" w:eastAsia="zh-CN" w:bidi="ar-SA"/>
              </w:rPr>
              <w:t xml:space="preserve">草捆密度控制</w:t>
            </w:r>
            <w:r/>
          </w:p>
        </w:tc>
        <w:tc>
          <w:tcPr>
            <w:tcBorders>
              <w:top w:val="single" w:color="000000" w:sz="6" w:space="0"/>
              <w:left w:val="single" w:color="auto" w:sz="4" w:space="0"/>
              <w:bottom w:val="single" w:color="000000" w:sz="6" w:space="0"/>
              <w:right w:val="single" w:color="auto" w:sz="4" w:space="0"/>
            </w:tcBorders>
            <w:tcW w:w="597" w:type="pct"/>
            <w:vAlign w:val="center"/>
            <w:textDirection w:val="lrTb"/>
            <w:noWrap w:val="false"/>
          </w:tcPr>
          <w:p>
            <w:pPr>
              <w:ind w:left="0" w:right="0" w:firstLine="0"/>
              <w:jc w:val="center"/>
              <w:keepLines w:val="0"/>
              <w:keepNext w:val="0"/>
              <w:pageBreakBefore w:val="0"/>
              <w:spacing w:beforeAutospacing="0" w:afterAutospacing="0" w:line="320" w:lineRule="exact"/>
              <w:widowControl/>
              <w:rPr>
                <w:rFonts w:hint="default" w:ascii="仿宋_GB2312" w:hAnsi="仿宋_GB2312" w:eastAsia="仿宋_GB2312" w:cs="仿宋_GB2312"/>
                <w:sz w:val="28"/>
                <w:szCs w:val="28"/>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default" w:ascii="仿宋_GB2312" w:hAnsi="仿宋_GB2312" w:eastAsia="仿宋_GB2312" w:cs="仿宋_GB2312"/>
                <w:sz w:val="28"/>
                <w:szCs w:val="28"/>
                <w:lang w:val="en-US" w:eastAsia="zh-CN" w:bidi="ar-SA"/>
              </w:rPr>
            </w:r>
            <w:r/>
          </w:p>
        </w:tc>
        <w:tc>
          <w:tcPr>
            <w:tcBorders>
              <w:top w:val="single" w:color="000000" w:sz="6" w:space="0"/>
              <w:left w:val="single" w:color="auto" w:sz="4" w:space="0"/>
              <w:bottom w:val="single" w:color="000000" w:sz="6" w:space="0"/>
              <w:right w:val="single" w:color="000000" w:sz="6" w:space="0"/>
            </w:tcBorders>
            <w:tcW w:w="1795" w:type="pct"/>
            <w:vAlign w:val="center"/>
            <w:textDirection w:val="lrTb"/>
            <w:noWrap w:val="false"/>
          </w:tcPr>
          <w:p>
            <w:pPr>
              <w:ind w:left="0" w:right="0" w:firstLine="0"/>
              <w:jc w:val="center"/>
              <w:keepLines w:val="0"/>
              <w:keepNext w:val="0"/>
              <w:pageBreakBefore w:val="0"/>
              <w:spacing w:beforeAutospacing="0" w:afterAutospacing="0" w:line="320" w:lineRule="exact"/>
              <w:widowControl/>
              <w:rPr>
                <w:rFonts w:hint="default" w:ascii="仿宋_GB2312" w:hAnsi="仿宋_GB2312" w:cs="仿宋_GB2312"/>
                <w:sz w:val="28"/>
                <w:szCs w:val="28"/>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仿宋_GB2312" w:hAnsi="仿宋_GB2312" w:cs="仿宋_GB2312"/>
                <w:sz w:val="28"/>
                <w:szCs w:val="28"/>
                <w:lang w:val="en-US" w:eastAsia="zh-CN" w:bidi="ar-SA"/>
              </w:rPr>
              <w:t xml:space="preserve">传感器控制</w:t>
            </w:r>
            <w:r/>
          </w:p>
        </w:tc>
      </w:tr>
      <w:tr>
        <w:trPr>
          <w:jc w:val="center"/>
          <w:trHeight w:val="23"/>
        </w:trPr>
        <w:tc>
          <w:tcPr>
            <w:tcBorders>
              <w:left w:val="single" w:color="000000" w:sz="6" w:space="0"/>
              <w:right w:val="single" w:color="000000" w:sz="6" w:space="0"/>
            </w:tcBorders>
            <w:tcW w:w="1219" w:type="pct"/>
            <w:vAlign w:val="center"/>
            <w:vMerge w:val="continue"/>
            <w:textDirection w:val="lrTb"/>
            <w:noWrap w:val="false"/>
          </w:tcPr>
          <w:p>
            <w:pPr>
              <w:ind w:left="0" w:right="0" w:firstLine="0"/>
              <w:jc w:val="center"/>
              <w:keepLines w:val="0"/>
              <w:keepNext w:val="0"/>
              <w:pageBreakBefore w:val="0"/>
              <w:spacing w:beforeAutospacing="0" w:afterAutospacing="0" w:line="320" w:lineRule="exact"/>
              <w:widowControl/>
              <w:rPr>
                <w:rFonts w:hint="eastAsia" w:ascii="仿宋_GB2312" w:hAnsi="仿宋_GB2312" w:cs="仿宋_GB2312"/>
                <w:sz w:val="28"/>
                <w:szCs w:val="28"/>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仿宋_GB2312" w:hAnsi="仿宋_GB2312" w:cs="仿宋_GB2312"/>
                <w:sz w:val="28"/>
                <w:szCs w:val="28"/>
                <w:lang w:val="en-US" w:eastAsia="zh-CN" w:bidi="ar-SA"/>
              </w:rPr>
            </w:r>
            <w:r/>
          </w:p>
        </w:tc>
        <w:tc>
          <w:tcPr>
            <w:tcBorders>
              <w:top w:val="single" w:color="000000" w:sz="6" w:space="0"/>
              <w:left w:val="single" w:color="000000" w:sz="6" w:space="0"/>
              <w:bottom w:val="single" w:color="000000" w:sz="6" w:space="0"/>
              <w:right w:val="single" w:color="auto" w:sz="4" w:space="0"/>
            </w:tcBorders>
            <w:tcW w:w="1387" w:type="pct"/>
            <w:vAlign w:val="center"/>
            <w:textDirection w:val="lrTb"/>
            <w:noWrap w:val="false"/>
          </w:tcPr>
          <w:p>
            <w:pPr>
              <w:ind w:left="0" w:right="0" w:firstLine="0"/>
              <w:jc w:val="center"/>
              <w:keepLines w:val="0"/>
              <w:keepNext w:val="0"/>
              <w:pageBreakBefore w:val="0"/>
              <w:spacing w:beforeAutospacing="0" w:afterAutospacing="0" w:line="320" w:lineRule="exact"/>
              <w:widowControl/>
              <w:rPr>
                <w:rFonts w:hint="default" w:ascii="仿宋_GB2312" w:hAnsi="仿宋_GB2312" w:cs="仿宋_GB2312"/>
                <w:sz w:val="28"/>
                <w:szCs w:val="28"/>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仿宋_GB2312" w:hAnsi="仿宋_GB2312" w:cs="仿宋_GB2312"/>
                <w:sz w:val="28"/>
                <w:szCs w:val="28"/>
                <w:lang w:val="en-US" w:eastAsia="zh-CN" w:bidi="ar-SA"/>
              </w:rPr>
              <w:t xml:space="preserve">草捆尺寸（直径x宽度）</w:t>
            </w:r>
            <w:r/>
          </w:p>
        </w:tc>
        <w:tc>
          <w:tcPr>
            <w:tcBorders>
              <w:top w:val="single" w:color="000000" w:sz="6" w:space="0"/>
              <w:left w:val="single" w:color="auto" w:sz="4" w:space="0"/>
              <w:bottom w:val="single" w:color="000000" w:sz="6" w:space="0"/>
              <w:right w:val="single" w:color="auto" w:sz="4" w:space="0"/>
            </w:tcBorders>
            <w:tcW w:w="597" w:type="pct"/>
            <w:vAlign w:val="center"/>
            <w:textDirection w:val="lrTb"/>
            <w:noWrap w:val="false"/>
          </w:tcPr>
          <w:p>
            <w:pPr>
              <w:ind w:left="0" w:right="0" w:firstLine="0"/>
              <w:jc w:val="center"/>
              <w:keepLines w:val="0"/>
              <w:keepNext w:val="0"/>
              <w:pageBreakBefore w:val="0"/>
              <w:spacing w:beforeAutospacing="0" w:afterAutospacing="0" w:line="320" w:lineRule="exact"/>
              <w:widowControl/>
              <w:rPr>
                <w:rFonts w:hint="default" w:ascii="仿宋_GB2312" w:hAnsi="仿宋_GB2312" w:eastAsia="仿宋_GB2312" w:cs="仿宋_GB2312"/>
                <w:sz w:val="28"/>
                <w:szCs w:val="28"/>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仿宋_GB2312" w:hAnsi="仿宋_GB2312" w:cs="仿宋_GB2312"/>
                <w:sz w:val="28"/>
                <w:szCs w:val="28"/>
                <w:lang w:val="en-US" w:eastAsia="zh-CN" w:bidi="ar-SA"/>
              </w:rPr>
              <w:t xml:space="preserve">mm</w:t>
            </w:r>
            <w:r/>
          </w:p>
        </w:tc>
        <w:tc>
          <w:tcPr>
            <w:tcBorders>
              <w:top w:val="single" w:color="000000" w:sz="6" w:space="0"/>
              <w:left w:val="single" w:color="auto" w:sz="4" w:space="0"/>
              <w:bottom w:val="single" w:color="000000" w:sz="6" w:space="0"/>
              <w:right w:val="single" w:color="000000" w:sz="6" w:space="0"/>
            </w:tcBorders>
            <w:tcW w:w="1795" w:type="pct"/>
            <w:vAlign w:val="center"/>
            <w:textDirection w:val="lrTb"/>
            <w:noWrap w:val="false"/>
          </w:tcPr>
          <w:p>
            <w:pPr>
              <w:ind w:left="0" w:right="0" w:firstLine="0"/>
              <w:jc w:val="center"/>
              <w:keepLines w:val="0"/>
              <w:keepNext w:val="0"/>
              <w:pageBreakBefore w:val="0"/>
              <w:spacing w:beforeAutospacing="0" w:afterAutospacing="0" w:line="320" w:lineRule="exact"/>
              <w:widowControl/>
              <w:rPr>
                <w:rFonts w:hint="default" w:ascii="仿宋_GB2312" w:hAnsi="仿宋_GB2312" w:cs="仿宋_GB2312"/>
                <w:sz w:val="28"/>
                <w:szCs w:val="28"/>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仿宋_GB2312" w:hAnsi="仿宋_GB2312" w:cs="仿宋_GB2312"/>
                <w:sz w:val="28"/>
                <w:szCs w:val="28"/>
                <w:lang w:val="en-US" w:eastAsia="zh-CN" w:bidi="ar-SA"/>
              </w:rPr>
              <w:t xml:space="preserve">1300x1400（约1.85m³/捆）</w:t>
            </w:r>
            <w:r/>
          </w:p>
        </w:tc>
      </w:tr>
      <w:tr>
        <w:trPr>
          <w:jc w:val="center"/>
          <w:trHeight w:val="23"/>
        </w:trPr>
        <w:tc>
          <w:tcPr>
            <w:tcBorders>
              <w:left w:val="single" w:color="000000" w:sz="6" w:space="0"/>
              <w:right w:val="single" w:color="000000" w:sz="6" w:space="0"/>
            </w:tcBorders>
            <w:tcW w:w="1219" w:type="pct"/>
            <w:vAlign w:val="center"/>
            <w:vMerge w:val="continue"/>
            <w:textDirection w:val="lrTb"/>
            <w:noWrap w:val="false"/>
          </w:tcPr>
          <w:p>
            <w:pPr>
              <w:ind w:left="0" w:right="0" w:firstLine="0"/>
              <w:jc w:val="center"/>
              <w:keepLines w:val="0"/>
              <w:keepNext w:val="0"/>
              <w:pageBreakBefore w:val="0"/>
              <w:spacing w:beforeAutospacing="0" w:afterAutospacing="0" w:line="320" w:lineRule="exact"/>
              <w:widowControl/>
              <w:rPr>
                <w:rFonts w:hint="eastAsia" w:ascii="仿宋_GB2312" w:hAnsi="仿宋_GB2312" w:cs="仿宋_GB2312"/>
                <w:sz w:val="28"/>
                <w:szCs w:val="28"/>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仿宋_GB2312" w:hAnsi="仿宋_GB2312" w:cs="仿宋_GB2312"/>
                <w:sz w:val="28"/>
                <w:szCs w:val="28"/>
                <w:lang w:val="en-US" w:eastAsia="zh-CN" w:bidi="ar-SA"/>
              </w:rPr>
            </w:r>
            <w:r/>
          </w:p>
        </w:tc>
        <w:tc>
          <w:tcPr>
            <w:tcBorders>
              <w:top w:val="single" w:color="000000" w:sz="6" w:space="0"/>
              <w:left w:val="single" w:color="000000" w:sz="6" w:space="0"/>
              <w:bottom w:val="single" w:color="000000" w:sz="6" w:space="0"/>
              <w:right w:val="single" w:color="auto" w:sz="4" w:space="0"/>
            </w:tcBorders>
            <w:tcW w:w="1387" w:type="pct"/>
            <w:vAlign w:val="center"/>
            <w:textDirection w:val="lrTb"/>
            <w:noWrap w:val="false"/>
          </w:tcPr>
          <w:p>
            <w:pPr>
              <w:ind w:left="0" w:right="0" w:firstLine="0"/>
              <w:jc w:val="center"/>
              <w:keepLines w:val="0"/>
              <w:keepNext w:val="0"/>
              <w:pageBreakBefore w:val="0"/>
              <w:spacing w:beforeAutospacing="0" w:afterAutospacing="0" w:line="320" w:lineRule="exact"/>
              <w:widowControl/>
              <w:rPr>
                <w:rFonts w:hint="default" w:ascii="仿宋_GB2312" w:hAnsi="仿宋_GB2312" w:cs="仿宋_GB2312"/>
                <w:sz w:val="28"/>
                <w:szCs w:val="28"/>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仿宋_GB2312" w:hAnsi="仿宋_GB2312" w:cs="仿宋_GB2312"/>
                <w:sz w:val="28"/>
                <w:szCs w:val="28"/>
                <w:lang w:val="en-US" w:eastAsia="zh-CN" w:bidi="ar-SA"/>
              </w:rPr>
              <w:t xml:space="preserve">草捆密度</w:t>
            </w:r>
            <w:r/>
          </w:p>
        </w:tc>
        <w:tc>
          <w:tcPr>
            <w:tcBorders>
              <w:top w:val="single" w:color="000000" w:sz="6" w:space="0"/>
              <w:left w:val="single" w:color="auto" w:sz="4" w:space="0"/>
              <w:bottom w:val="single" w:color="000000" w:sz="6" w:space="0"/>
              <w:right w:val="single" w:color="auto" w:sz="4" w:space="0"/>
            </w:tcBorders>
            <w:tcW w:w="597" w:type="pct"/>
            <w:vAlign w:val="center"/>
            <w:textDirection w:val="lrTb"/>
            <w:noWrap w:val="false"/>
          </w:tcPr>
          <w:p>
            <w:pPr>
              <w:ind w:left="0" w:right="0" w:firstLine="0"/>
              <w:jc w:val="center"/>
              <w:keepLines w:val="0"/>
              <w:keepNext w:val="0"/>
              <w:pageBreakBefore w:val="0"/>
              <w:spacing w:beforeAutospacing="0" w:afterAutospacing="0" w:line="320" w:lineRule="exact"/>
              <w:widowControl/>
              <w:rPr>
                <w:rFonts w:hint="default" w:ascii="仿宋_GB2312" w:hAnsi="仿宋_GB2312" w:eastAsia="仿宋_GB2312" w:cs="仿宋_GB2312"/>
                <w:sz w:val="28"/>
                <w:szCs w:val="28"/>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仿宋_GB2312" w:hAnsi="仿宋_GB2312" w:cs="仿宋_GB2312"/>
                <w:sz w:val="28"/>
                <w:szCs w:val="28"/>
                <w:lang w:val="en-US" w:eastAsia="zh-CN" w:bidi="ar-SA"/>
              </w:rPr>
              <w:t xml:space="preserve">Kg/m³</w:t>
            </w:r>
            <w:r/>
          </w:p>
        </w:tc>
        <w:tc>
          <w:tcPr>
            <w:tcBorders>
              <w:top w:val="single" w:color="000000" w:sz="6" w:space="0"/>
              <w:left w:val="single" w:color="auto" w:sz="4" w:space="0"/>
              <w:bottom w:val="single" w:color="000000" w:sz="6" w:space="0"/>
              <w:right w:val="single" w:color="000000" w:sz="6" w:space="0"/>
            </w:tcBorders>
            <w:tcW w:w="1795" w:type="pct"/>
            <w:vAlign w:val="center"/>
            <w:textDirection w:val="lrTb"/>
            <w:noWrap w:val="false"/>
          </w:tcPr>
          <w:p>
            <w:pPr>
              <w:ind w:left="0" w:right="0" w:firstLine="0"/>
              <w:jc w:val="center"/>
              <w:keepLines w:val="0"/>
              <w:keepNext w:val="0"/>
              <w:pageBreakBefore w:val="0"/>
              <w:spacing w:beforeAutospacing="0" w:afterAutospacing="0" w:line="320" w:lineRule="exact"/>
              <w:widowControl/>
              <w:rPr>
                <w:rFonts w:hint="default" w:ascii="仿宋_GB2312" w:hAnsi="仿宋_GB2312" w:cs="仿宋_GB2312"/>
                <w:sz w:val="28"/>
                <w:szCs w:val="28"/>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仿宋_GB2312" w:hAnsi="仿宋_GB2312" w:cs="仿宋_GB2312"/>
                <w:sz w:val="28"/>
                <w:szCs w:val="28"/>
                <w:lang w:val="en-US" w:eastAsia="zh-CN" w:bidi="ar-SA"/>
              </w:rPr>
              <w:t xml:space="preserve">≥100</w:t>
            </w:r>
            <w:r/>
          </w:p>
        </w:tc>
      </w:tr>
      <w:tr>
        <w:trPr>
          <w:jc w:val="center"/>
          <w:trHeight w:val="23"/>
        </w:trPr>
        <w:tc>
          <w:tcPr>
            <w:tcBorders>
              <w:left w:val="single" w:color="000000" w:sz="6" w:space="0"/>
              <w:right w:val="single" w:color="000000" w:sz="6" w:space="0"/>
            </w:tcBorders>
            <w:tcW w:w="1219" w:type="pct"/>
            <w:vAlign w:val="center"/>
            <w:vMerge w:val="continue"/>
            <w:textDirection w:val="lrTb"/>
            <w:noWrap w:val="false"/>
          </w:tcPr>
          <w:p>
            <w:pPr>
              <w:ind w:left="0" w:right="0" w:firstLine="0"/>
              <w:jc w:val="center"/>
              <w:keepLines w:val="0"/>
              <w:keepNext w:val="0"/>
              <w:pageBreakBefore w:val="0"/>
              <w:spacing w:beforeAutospacing="0" w:afterAutospacing="0" w:line="320" w:lineRule="exact"/>
              <w:widowControl/>
              <w:rPr>
                <w:rFonts w:hint="eastAsia" w:ascii="仿宋_GB2312" w:hAnsi="仿宋_GB2312" w:cs="仿宋_GB2312"/>
                <w:sz w:val="28"/>
                <w:szCs w:val="28"/>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仿宋_GB2312" w:hAnsi="仿宋_GB2312" w:cs="仿宋_GB2312"/>
                <w:sz w:val="28"/>
                <w:szCs w:val="28"/>
                <w:lang w:val="en-US" w:eastAsia="zh-CN" w:bidi="ar-SA"/>
              </w:rPr>
            </w:r>
            <w:r/>
          </w:p>
        </w:tc>
        <w:tc>
          <w:tcPr>
            <w:tcBorders>
              <w:top w:val="single" w:color="000000" w:sz="6" w:space="0"/>
              <w:left w:val="single" w:color="000000" w:sz="6" w:space="0"/>
              <w:bottom w:val="single" w:color="000000" w:sz="6" w:space="0"/>
              <w:right w:val="single" w:color="auto" w:sz="4" w:space="0"/>
            </w:tcBorders>
            <w:tcW w:w="1387" w:type="pct"/>
            <w:vAlign w:val="center"/>
            <w:textDirection w:val="lrTb"/>
            <w:noWrap w:val="false"/>
          </w:tcPr>
          <w:p>
            <w:pPr>
              <w:ind w:left="0" w:right="0" w:firstLine="0"/>
              <w:jc w:val="center"/>
              <w:keepLines w:val="0"/>
              <w:keepNext w:val="0"/>
              <w:pageBreakBefore w:val="0"/>
              <w:spacing w:beforeAutospacing="0" w:afterAutospacing="0" w:line="320" w:lineRule="exact"/>
              <w:widowControl/>
              <w:rPr>
                <w:rFonts w:hint="default" w:ascii="仿宋_GB2312" w:hAnsi="仿宋_GB2312" w:cs="仿宋_GB2312"/>
                <w:sz w:val="28"/>
                <w:szCs w:val="28"/>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仿宋_GB2312" w:hAnsi="仿宋_GB2312" w:cs="仿宋_GB2312"/>
                <w:sz w:val="28"/>
                <w:szCs w:val="28"/>
                <w:lang w:val="en-US" w:eastAsia="zh-CN" w:bidi="ar-SA"/>
              </w:rPr>
              <w:t xml:space="preserve">生产率</w:t>
            </w:r>
            <w:r/>
          </w:p>
        </w:tc>
        <w:tc>
          <w:tcPr>
            <w:tcBorders>
              <w:top w:val="single" w:color="000000" w:sz="6" w:space="0"/>
              <w:left w:val="single" w:color="auto" w:sz="4" w:space="0"/>
              <w:bottom w:val="single" w:color="000000" w:sz="6" w:space="0"/>
              <w:right w:val="single" w:color="auto" w:sz="4" w:space="0"/>
            </w:tcBorders>
            <w:tcW w:w="597" w:type="pct"/>
            <w:vAlign w:val="center"/>
            <w:textDirection w:val="lrTb"/>
            <w:noWrap w:val="false"/>
          </w:tcPr>
          <w:p>
            <w:pPr>
              <w:ind w:left="0" w:right="0" w:firstLine="0"/>
              <w:jc w:val="center"/>
              <w:keepLines w:val="0"/>
              <w:keepNext w:val="0"/>
              <w:pageBreakBefore w:val="0"/>
              <w:spacing w:beforeAutospacing="0" w:afterAutospacing="0" w:line="320" w:lineRule="exact"/>
              <w:widowControl/>
              <w:rPr>
                <w:rFonts w:hint="default" w:ascii="仿宋_GB2312" w:hAnsi="仿宋_GB2312" w:eastAsia="仿宋_GB2312" w:cs="仿宋_GB2312"/>
                <w:sz w:val="28"/>
                <w:szCs w:val="28"/>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仿宋_GB2312" w:hAnsi="仿宋_GB2312" w:cs="仿宋_GB2312"/>
                <w:sz w:val="28"/>
                <w:szCs w:val="28"/>
                <w:lang w:val="en-US" w:eastAsia="zh-CN" w:bidi="ar-SA"/>
              </w:rPr>
              <w:t xml:space="preserve">捆/h</w:t>
            </w:r>
            <w:r/>
          </w:p>
        </w:tc>
        <w:tc>
          <w:tcPr>
            <w:tcBorders>
              <w:top w:val="single" w:color="000000" w:sz="6" w:space="0"/>
              <w:left w:val="single" w:color="auto" w:sz="4" w:space="0"/>
              <w:bottom w:val="single" w:color="000000" w:sz="6" w:space="0"/>
              <w:right w:val="single" w:color="000000" w:sz="6" w:space="0"/>
            </w:tcBorders>
            <w:tcW w:w="1795" w:type="pct"/>
            <w:vAlign w:val="center"/>
            <w:textDirection w:val="lrTb"/>
            <w:noWrap w:val="false"/>
          </w:tcPr>
          <w:p>
            <w:pPr>
              <w:ind w:left="0" w:right="0" w:firstLine="0"/>
              <w:jc w:val="center"/>
              <w:keepLines w:val="0"/>
              <w:keepNext w:val="0"/>
              <w:pageBreakBefore w:val="0"/>
              <w:spacing w:beforeAutospacing="0" w:afterAutospacing="0" w:line="320" w:lineRule="exact"/>
              <w:widowControl/>
              <w:rPr>
                <w:rFonts w:hint="default" w:ascii="仿宋_GB2312" w:hAnsi="仿宋_GB2312" w:cs="仿宋_GB2312"/>
                <w:sz w:val="28"/>
                <w:szCs w:val="28"/>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仿宋_GB2312" w:hAnsi="仿宋_GB2312" w:cs="仿宋_GB2312"/>
                <w:sz w:val="28"/>
                <w:szCs w:val="28"/>
                <w:lang w:val="en-US" w:eastAsia="zh-CN" w:bidi="ar-SA"/>
              </w:rPr>
              <w:t xml:space="preserve">40-100</w:t>
            </w:r>
            <w:r/>
          </w:p>
        </w:tc>
      </w:tr>
      <w:tr>
        <w:trPr>
          <w:jc w:val="center"/>
          <w:trHeight w:val="23"/>
        </w:trPr>
        <w:tc>
          <w:tcPr>
            <w:tcBorders>
              <w:left w:val="single" w:color="000000" w:sz="6" w:space="0"/>
              <w:right w:val="single" w:color="000000" w:sz="6" w:space="0"/>
            </w:tcBorders>
            <w:tcW w:w="1219" w:type="pct"/>
            <w:vAlign w:val="center"/>
            <w:vMerge w:val="continue"/>
            <w:textDirection w:val="lrTb"/>
            <w:noWrap w:val="false"/>
          </w:tcPr>
          <w:p>
            <w:pPr>
              <w:ind w:left="0" w:right="0" w:firstLine="0"/>
              <w:jc w:val="center"/>
              <w:keepLines w:val="0"/>
              <w:keepNext w:val="0"/>
              <w:pageBreakBefore w:val="0"/>
              <w:spacing w:beforeAutospacing="0" w:afterAutospacing="0" w:line="320" w:lineRule="exact"/>
              <w:widowControl/>
              <w:rPr>
                <w:rFonts w:hint="eastAsia" w:ascii="仿宋_GB2312" w:hAnsi="仿宋_GB2312" w:cs="仿宋_GB2312"/>
                <w:sz w:val="28"/>
                <w:szCs w:val="28"/>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仿宋_GB2312" w:hAnsi="仿宋_GB2312" w:cs="仿宋_GB2312"/>
                <w:sz w:val="28"/>
                <w:szCs w:val="28"/>
                <w:lang w:val="en-US" w:eastAsia="zh-CN" w:bidi="ar-SA"/>
              </w:rPr>
            </w:r>
            <w:r/>
          </w:p>
        </w:tc>
        <w:tc>
          <w:tcPr>
            <w:tcBorders>
              <w:top w:val="single" w:color="000000" w:sz="6" w:space="0"/>
              <w:left w:val="single" w:color="000000" w:sz="6" w:space="0"/>
              <w:bottom w:val="single" w:color="000000" w:sz="6" w:space="0"/>
              <w:right w:val="single" w:color="auto" w:sz="4" w:space="0"/>
            </w:tcBorders>
            <w:tcW w:w="1387" w:type="pct"/>
            <w:vAlign w:val="center"/>
            <w:textDirection w:val="lrTb"/>
            <w:noWrap w:val="false"/>
          </w:tcPr>
          <w:p>
            <w:pPr>
              <w:ind w:left="0" w:right="0" w:firstLine="0"/>
              <w:jc w:val="center"/>
              <w:keepLines w:val="0"/>
              <w:keepNext w:val="0"/>
              <w:pageBreakBefore w:val="0"/>
              <w:spacing w:beforeAutospacing="0" w:afterAutospacing="0" w:line="320" w:lineRule="exact"/>
              <w:widowControl/>
              <w:rPr>
                <w:rFonts w:hint="default" w:ascii="仿宋_GB2312" w:hAnsi="仿宋_GB2312" w:cs="仿宋_GB2312"/>
                <w:sz w:val="28"/>
                <w:szCs w:val="28"/>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仿宋_GB2312" w:hAnsi="仿宋_GB2312" w:cs="仿宋_GB2312"/>
                <w:sz w:val="28"/>
                <w:szCs w:val="28"/>
                <w:lang w:val="en-US" w:eastAsia="zh-CN" w:bidi="ar-SA"/>
              </w:rPr>
              <w:t xml:space="preserve">轮距</w:t>
            </w:r>
            <w:r/>
          </w:p>
        </w:tc>
        <w:tc>
          <w:tcPr>
            <w:tcBorders>
              <w:top w:val="single" w:color="000000" w:sz="6" w:space="0"/>
              <w:left w:val="single" w:color="auto" w:sz="4" w:space="0"/>
              <w:bottom w:val="single" w:color="000000" w:sz="6" w:space="0"/>
              <w:right w:val="single" w:color="auto" w:sz="4" w:space="0"/>
            </w:tcBorders>
            <w:tcW w:w="597" w:type="pct"/>
            <w:vAlign w:val="center"/>
            <w:textDirection w:val="lrTb"/>
            <w:noWrap w:val="false"/>
          </w:tcPr>
          <w:p>
            <w:pPr>
              <w:ind w:left="0" w:right="0" w:firstLine="0"/>
              <w:jc w:val="center"/>
              <w:keepLines w:val="0"/>
              <w:keepNext w:val="0"/>
              <w:pageBreakBefore w:val="0"/>
              <w:spacing w:beforeAutospacing="0" w:afterAutospacing="0" w:line="320" w:lineRule="exact"/>
              <w:widowControl/>
              <w:rPr>
                <w:rFonts w:hint="default" w:ascii="仿宋_GB2312" w:hAnsi="仿宋_GB2312" w:eastAsia="仿宋_GB2312" w:cs="仿宋_GB2312"/>
                <w:sz w:val="28"/>
                <w:szCs w:val="28"/>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仿宋_GB2312" w:hAnsi="仿宋_GB2312" w:cs="仿宋_GB2312"/>
                <w:sz w:val="28"/>
                <w:szCs w:val="28"/>
                <w:lang w:val="en-US" w:eastAsia="zh-CN" w:bidi="ar-SA"/>
              </w:rPr>
              <w:t xml:space="preserve">mm</w:t>
            </w:r>
            <w:r/>
          </w:p>
        </w:tc>
        <w:tc>
          <w:tcPr>
            <w:tcBorders>
              <w:top w:val="single" w:color="000000" w:sz="6" w:space="0"/>
              <w:left w:val="single" w:color="auto" w:sz="4" w:space="0"/>
              <w:bottom w:val="single" w:color="000000" w:sz="6" w:space="0"/>
              <w:right w:val="single" w:color="000000" w:sz="6" w:space="0"/>
            </w:tcBorders>
            <w:tcW w:w="1795" w:type="pct"/>
            <w:vAlign w:val="center"/>
            <w:textDirection w:val="lrTb"/>
            <w:noWrap w:val="false"/>
          </w:tcPr>
          <w:p>
            <w:pPr>
              <w:ind w:left="0" w:right="0" w:firstLine="0"/>
              <w:jc w:val="center"/>
              <w:keepLines w:val="0"/>
              <w:keepNext w:val="0"/>
              <w:pageBreakBefore w:val="0"/>
              <w:spacing w:beforeAutospacing="0" w:afterAutospacing="0" w:line="320" w:lineRule="exact"/>
              <w:widowControl/>
              <w:rPr>
                <w:rFonts w:hint="default" w:ascii="仿宋_GB2312" w:hAnsi="仿宋_GB2312" w:cs="仿宋_GB2312"/>
                <w:sz w:val="28"/>
                <w:szCs w:val="28"/>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仿宋_GB2312" w:hAnsi="仿宋_GB2312" w:cs="仿宋_GB2312"/>
                <w:sz w:val="28"/>
                <w:szCs w:val="28"/>
                <w:lang w:val="en-US" w:eastAsia="zh-CN" w:bidi="ar-SA"/>
              </w:rPr>
              <w:t xml:space="preserve">2600</w:t>
            </w:r>
            <w:r/>
          </w:p>
        </w:tc>
      </w:tr>
      <w:tr>
        <w:trPr>
          <w:jc w:val="center"/>
          <w:trHeight w:val="23"/>
        </w:trPr>
        <w:tc>
          <w:tcPr>
            <w:tcBorders>
              <w:left w:val="single" w:color="000000" w:sz="6" w:space="0"/>
              <w:right w:val="single" w:color="000000" w:sz="6" w:space="0"/>
            </w:tcBorders>
            <w:tcW w:w="1219" w:type="pct"/>
            <w:vAlign w:val="center"/>
            <w:vMerge w:val="continue"/>
            <w:textDirection w:val="lrTb"/>
            <w:noWrap w:val="false"/>
          </w:tcPr>
          <w:p>
            <w:pPr>
              <w:ind w:left="0" w:right="0" w:firstLine="0"/>
              <w:jc w:val="center"/>
              <w:keepLines w:val="0"/>
              <w:keepNext w:val="0"/>
              <w:pageBreakBefore w:val="0"/>
              <w:spacing w:beforeAutospacing="0" w:afterAutospacing="0" w:line="320" w:lineRule="exact"/>
              <w:widowControl/>
              <w:rPr>
                <w:rFonts w:hint="eastAsia" w:ascii="仿宋_GB2312" w:hAnsi="仿宋_GB2312" w:cs="仿宋_GB2312"/>
                <w:sz w:val="28"/>
                <w:szCs w:val="28"/>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仿宋_GB2312" w:hAnsi="仿宋_GB2312" w:cs="仿宋_GB2312"/>
                <w:sz w:val="28"/>
                <w:szCs w:val="28"/>
                <w:lang w:val="en-US" w:eastAsia="zh-CN" w:bidi="ar-SA"/>
              </w:rPr>
            </w:r>
            <w:r/>
          </w:p>
        </w:tc>
        <w:tc>
          <w:tcPr>
            <w:tcBorders>
              <w:top w:val="single" w:color="000000" w:sz="6" w:space="0"/>
              <w:left w:val="single" w:color="000000" w:sz="6" w:space="0"/>
              <w:bottom w:val="single" w:color="000000" w:sz="6" w:space="0"/>
              <w:right w:val="single" w:color="auto" w:sz="4" w:space="0"/>
            </w:tcBorders>
            <w:tcW w:w="1387" w:type="pct"/>
            <w:vAlign w:val="center"/>
            <w:textDirection w:val="lrTb"/>
            <w:noWrap w:val="false"/>
          </w:tcPr>
          <w:p>
            <w:pPr>
              <w:ind w:left="0" w:right="0" w:firstLine="0"/>
              <w:jc w:val="center"/>
              <w:keepLines w:val="0"/>
              <w:keepNext w:val="0"/>
              <w:pageBreakBefore w:val="0"/>
              <w:spacing w:beforeAutospacing="0" w:afterAutospacing="0" w:line="320" w:lineRule="exact"/>
              <w:widowControl/>
              <w:rPr>
                <w:rFonts w:hint="default" w:ascii="仿宋_GB2312" w:hAnsi="仿宋_GB2312" w:cs="仿宋_GB2312"/>
                <w:sz w:val="28"/>
                <w:szCs w:val="28"/>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仿宋_GB2312" w:hAnsi="仿宋_GB2312" w:cs="仿宋_GB2312"/>
                <w:sz w:val="28"/>
                <w:szCs w:val="28"/>
                <w:lang w:val="en-US" w:eastAsia="zh-CN" w:bidi="ar-SA"/>
              </w:rPr>
              <w:t xml:space="preserve">作业速度</w:t>
            </w:r>
            <w:r/>
          </w:p>
        </w:tc>
        <w:tc>
          <w:tcPr>
            <w:tcBorders>
              <w:top w:val="single" w:color="000000" w:sz="6" w:space="0"/>
              <w:left w:val="single" w:color="auto" w:sz="4" w:space="0"/>
              <w:bottom w:val="single" w:color="000000" w:sz="6" w:space="0"/>
              <w:right w:val="single" w:color="auto" w:sz="4" w:space="0"/>
            </w:tcBorders>
            <w:tcW w:w="597" w:type="pct"/>
            <w:vAlign w:val="center"/>
            <w:textDirection w:val="lrTb"/>
            <w:noWrap w:val="false"/>
          </w:tcPr>
          <w:p>
            <w:pPr>
              <w:ind w:left="0" w:right="0" w:firstLine="0"/>
              <w:jc w:val="center"/>
              <w:keepLines w:val="0"/>
              <w:keepNext w:val="0"/>
              <w:pageBreakBefore w:val="0"/>
              <w:spacing w:beforeAutospacing="0" w:afterAutospacing="0" w:line="320" w:lineRule="exact"/>
              <w:widowControl/>
              <w:rPr>
                <w:rFonts w:hint="default" w:ascii="仿宋_GB2312" w:hAnsi="仿宋_GB2312" w:eastAsia="仿宋_GB2312" w:cs="仿宋_GB2312"/>
                <w:sz w:val="28"/>
                <w:szCs w:val="28"/>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仿宋_GB2312" w:hAnsi="仿宋_GB2312" w:cs="仿宋_GB2312"/>
                <w:sz w:val="28"/>
                <w:szCs w:val="28"/>
                <w:lang w:val="en-US" w:eastAsia="zh-CN" w:bidi="ar-SA"/>
              </w:rPr>
              <w:t xml:space="preserve">Km/h</w:t>
            </w:r>
            <w:r/>
          </w:p>
        </w:tc>
        <w:tc>
          <w:tcPr>
            <w:tcBorders>
              <w:top w:val="single" w:color="000000" w:sz="6" w:space="0"/>
              <w:left w:val="single" w:color="auto" w:sz="4" w:space="0"/>
              <w:bottom w:val="single" w:color="000000" w:sz="6" w:space="0"/>
              <w:right w:val="single" w:color="000000" w:sz="6" w:space="0"/>
            </w:tcBorders>
            <w:tcW w:w="1795" w:type="pct"/>
            <w:vAlign w:val="center"/>
            <w:textDirection w:val="lrTb"/>
            <w:noWrap w:val="false"/>
          </w:tcPr>
          <w:p>
            <w:pPr>
              <w:ind w:left="0" w:right="0" w:firstLine="0"/>
              <w:jc w:val="center"/>
              <w:keepLines w:val="0"/>
              <w:keepNext w:val="0"/>
              <w:pageBreakBefore w:val="0"/>
              <w:spacing w:beforeAutospacing="0" w:afterAutospacing="0" w:line="320" w:lineRule="exact"/>
              <w:widowControl/>
              <w:rPr>
                <w:rFonts w:hint="default" w:ascii="仿宋_GB2312" w:hAnsi="仿宋_GB2312" w:cs="仿宋_GB2312"/>
                <w:sz w:val="28"/>
                <w:szCs w:val="28"/>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仿宋_GB2312" w:hAnsi="仿宋_GB2312" w:cs="仿宋_GB2312"/>
                <w:sz w:val="28"/>
                <w:szCs w:val="28"/>
                <w:lang w:val="en-US" w:eastAsia="zh-CN" w:bidi="ar-SA"/>
              </w:rPr>
              <w:t xml:space="preserve">5-35</w:t>
            </w:r>
            <w:r/>
          </w:p>
        </w:tc>
      </w:tr>
      <w:tr>
        <w:trPr>
          <w:jc w:val="center"/>
          <w:trHeight w:val="23"/>
        </w:trPr>
        <w:tc>
          <w:tcPr>
            <w:tcBorders>
              <w:left w:val="single" w:color="000000" w:sz="6" w:space="0"/>
              <w:right w:val="single" w:color="000000" w:sz="6" w:space="0"/>
            </w:tcBorders>
            <w:tcW w:w="1219" w:type="pct"/>
            <w:vAlign w:val="center"/>
            <w:vMerge w:val="continue"/>
            <w:textDirection w:val="lrTb"/>
            <w:noWrap w:val="false"/>
          </w:tcPr>
          <w:p>
            <w:pPr>
              <w:ind w:left="0" w:right="0" w:firstLine="0"/>
              <w:jc w:val="center"/>
              <w:keepLines w:val="0"/>
              <w:keepNext w:val="0"/>
              <w:pageBreakBefore w:val="0"/>
              <w:spacing w:beforeAutospacing="0" w:afterAutospacing="0" w:line="320" w:lineRule="exact"/>
              <w:widowControl/>
              <w:rPr>
                <w:rFonts w:hint="eastAsia" w:ascii="仿宋_GB2312" w:hAnsi="仿宋_GB2312" w:cs="仿宋_GB2312"/>
                <w:sz w:val="28"/>
                <w:szCs w:val="28"/>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仿宋_GB2312" w:hAnsi="仿宋_GB2312" w:cs="仿宋_GB2312"/>
                <w:sz w:val="28"/>
                <w:szCs w:val="28"/>
                <w:lang w:val="en-US" w:eastAsia="zh-CN" w:bidi="ar-SA"/>
              </w:rPr>
            </w:r>
            <w:r/>
          </w:p>
        </w:tc>
        <w:tc>
          <w:tcPr>
            <w:tcBorders>
              <w:top w:val="single" w:color="000000" w:sz="6" w:space="0"/>
              <w:left w:val="single" w:color="000000" w:sz="6" w:space="0"/>
              <w:bottom w:val="single" w:color="000000" w:sz="6" w:space="0"/>
              <w:right w:val="single" w:color="auto" w:sz="4" w:space="0"/>
            </w:tcBorders>
            <w:tcW w:w="1387" w:type="pct"/>
            <w:vAlign w:val="center"/>
            <w:textDirection w:val="lrTb"/>
            <w:noWrap w:val="false"/>
          </w:tcPr>
          <w:p>
            <w:pPr>
              <w:ind w:left="0" w:right="0" w:firstLine="0"/>
              <w:jc w:val="center"/>
              <w:keepLines w:val="0"/>
              <w:keepNext w:val="0"/>
              <w:pageBreakBefore w:val="0"/>
              <w:spacing w:beforeAutospacing="0" w:afterAutospacing="0" w:line="320" w:lineRule="exact"/>
              <w:widowControl/>
              <w:rPr>
                <w:rFonts w:hint="default" w:ascii="仿宋_GB2312" w:hAnsi="仿宋_GB2312" w:cs="仿宋_GB2312"/>
                <w:sz w:val="28"/>
                <w:szCs w:val="28"/>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仿宋_GB2312" w:hAnsi="仿宋_GB2312" w:cs="仿宋_GB2312"/>
                <w:sz w:val="28"/>
                <w:szCs w:val="28"/>
                <w:lang w:val="en-US" w:eastAsia="zh-CN" w:bidi="ar-SA"/>
              </w:rPr>
              <w:t xml:space="preserve">捆网规格（长x宽）</w:t>
            </w:r>
            <w:r/>
          </w:p>
        </w:tc>
        <w:tc>
          <w:tcPr>
            <w:tcBorders>
              <w:top w:val="single" w:color="000000" w:sz="6" w:space="0"/>
              <w:left w:val="single" w:color="auto" w:sz="4" w:space="0"/>
              <w:bottom w:val="single" w:color="000000" w:sz="6" w:space="0"/>
              <w:right w:val="single" w:color="auto" w:sz="4" w:space="0"/>
            </w:tcBorders>
            <w:tcW w:w="597" w:type="pct"/>
            <w:vAlign w:val="center"/>
            <w:textDirection w:val="lrTb"/>
            <w:noWrap w:val="false"/>
          </w:tcPr>
          <w:p>
            <w:pPr>
              <w:ind w:left="0" w:right="0" w:firstLine="0"/>
              <w:jc w:val="center"/>
              <w:keepLines w:val="0"/>
              <w:keepNext w:val="0"/>
              <w:pageBreakBefore w:val="0"/>
              <w:spacing w:beforeAutospacing="0" w:afterAutospacing="0" w:line="320" w:lineRule="exact"/>
              <w:widowControl/>
              <w:rPr>
                <w:rFonts w:hint="default" w:ascii="仿宋_GB2312" w:hAnsi="仿宋_GB2312" w:eastAsia="仿宋_GB2312" w:cs="仿宋_GB2312"/>
                <w:sz w:val="28"/>
                <w:szCs w:val="28"/>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仿宋_GB2312" w:hAnsi="仿宋_GB2312" w:cs="仿宋_GB2312"/>
                <w:sz w:val="28"/>
                <w:szCs w:val="28"/>
                <w:lang w:val="en-US" w:eastAsia="zh-CN" w:bidi="ar-SA"/>
              </w:rPr>
              <w:t xml:space="preserve">m</w:t>
            </w:r>
            <w:r/>
          </w:p>
        </w:tc>
        <w:tc>
          <w:tcPr>
            <w:tcBorders>
              <w:top w:val="single" w:color="000000" w:sz="6" w:space="0"/>
              <w:left w:val="single" w:color="auto" w:sz="4" w:space="0"/>
              <w:bottom w:val="single" w:color="000000" w:sz="6" w:space="0"/>
              <w:right w:val="single" w:color="000000" w:sz="6" w:space="0"/>
            </w:tcBorders>
            <w:tcW w:w="1795" w:type="pct"/>
            <w:vAlign w:val="center"/>
            <w:textDirection w:val="lrTb"/>
            <w:noWrap w:val="false"/>
          </w:tcPr>
          <w:p>
            <w:pPr>
              <w:ind w:left="0" w:right="0" w:firstLine="0"/>
              <w:jc w:val="center"/>
              <w:keepLines w:val="0"/>
              <w:keepNext w:val="0"/>
              <w:pageBreakBefore w:val="0"/>
              <w:spacing w:beforeAutospacing="0" w:afterAutospacing="0" w:line="320" w:lineRule="exact"/>
              <w:widowControl/>
              <w:rPr>
                <w:rFonts w:hint="default" w:ascii="仿宋_GB2312" w:hAnsi="仿宋_GB2312" w:cs="仿宋_GB2312"/>
                <w:sz w:val="28"/>
                <w:szCs w:val="28"/>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仿宋_GB2312" w:hAnsi="仿宋_GB2312" w:cs="仿宋_GB2312"/>
                <w:sz w:val="28"/>
                <w:szCs w:val="28"/>
                <w:lang w:val="en-US" w:eastAsia="zh-CN" w:bidi="ar-SA"/>
              </w:rPr>
              <w:t xml:space="preserve">2000x1.4/捆</w:t>
            </w:r>
            <w:r/>
          </w:p>
        </w:tc>
      </w:tr>
    </w:tbl>
    <w:p>
      <w:pPr>
        <w:numPr>
          <w:ilvl w:val="0"/>
          <w:numId w:val="8"/>
        </w:numPr>
        <w:ind w:right="0" w:firstLine="241"/>
        <w:jc w:val="both"/>
        <w:keepLines w:val="0"/>
        <w:keepNext w:val="0"/>
        <w:pageBreakBefore w:val="0"/>
        <w:spacing w:line="360" w:lineRule="auto"/>
        <w:widowControl w:val="off"/>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轮式拖拉机</w:t>
      </w:r>
      <w:r/>
    </w:p>
    <w:tbl>
      <w:tblPr>
        <w:tblStyle w:val="737"/>
        <w:tblpPr w:horzAnchor="text" w:tblpXSpec="center" w:vertAnchor="text" w:tblpY="1" w:leftFromText="180" w:topFromText="0" w:rightFromText="180" w:bottomFromText="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83"/>
        <w:gridCol w:w="2700"/>
        <w:gridCol w:w="1036"/>
        <w:gridCol w:w="4843"/>
      </w:tblGrid>
      <w:tr>
        <w:trPr>
          <w:jc w:val="center"/>
        </w:trPr>
        <w:tc>
          <w:tcPr>
            <w:tcW w:w="694" w:type="pct"/>
            <w:vAlign w:val="center"/>
            <w:vMerge w:val="restart"/>
            <w:textDirection w:val="lrTb"/>
            <w:noWrap w:val="false"/>
          </w:tcPr>
          <w:p>
            <w:pPr>
              <w:ind w:left="0" w:firstLine="0"/>
              <w:jc w:val="center"/>
              <w:rPr>
                <w:rFonts w:hint="default"/>
                <w:sz w:val="28"/>
                <w:szCs w:val="28"/>
                <w:vertAlign w:val="baseline"/>
                <w:lang w:val="en-US" w:eastAsia="zh-CN"/>
              </w:rPr>
            </w:pPr>
            <w:r>
              <w:rPr>
                <w:rFonts w:hint="eastAsia"/>
                <w:sz w:val="28"/>
                <w:szCs w:val="28"/>
                <w:vertAlign w:val="baseline"/>
                <w:lang w:val="en-US" w:eastAsia="zh-CN"/>
              </w:rPr>
              <w:t xml:space="preserve">设备规格参数</w:t>
            </w:r>
            <w:r/>
          </w:p>
        </w:tc>
        <w:tc>
          <w:tcPr>
            <w:gridSpan w:val="3"/>
            <w:tcW w:w="4305" w:type="pct"/>
            <w:vAlign w:val="center"/>
            <w:textDirection w:val="lrTb"/>
            <w:noWrap w:val="false"/>
          </w:tcPr>
          <w:p>
            <w:pPr>
              <w:ind w:firstLine="0"/>
              <w:jc w:val="center"/>
              <w:keepLines w:val="0"/>
              <w:keepNext w:val="0"/>
              <w:pageBreakBefore w:val="0"/>
              <w:widowControl w:val="off"/>
              <w:rPr>
                <w:rFonts w:hint="default"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 xml:space="preserve">轮式拖拉机</w:t>
            </w:r>
            <w:r/>
          </w:p>
        </w:tc>
      </w:tr>
      <w:tr>
        <w:trPr>
          <w:jc w:val="center"/>
        </w:trPr>
        <w:tc>
          <w:tcPr>
            <w:tcW w:w="694" w:type="pct"/>
            <w:vAlign w:val="center"/>
            <w:vMerge w:val="continue"/>
            <w:textDirection w:val="lrTb"/>
            <w:noWrap w:val="false"/>
          </w:tcPr>
          <w:p>
            <w:pPr>
              <w:jc w:val="center"/>
              <w:rPr>
                <w:rFonts w:hint="eastAsia"/>
                <w:sz w:val="28"/>
                <w:szCs w:val="28"/>
                <w:vertAlign w:val="baseline"/>
                <w:lang w:val="en-US" w:eastAsia="zh-CN"/>
              </w:rPr>
            </w:pPr>
            <w:r>
              <w:rPr>
                <w:rFonts w:hint="eastAsia"/>
                <w:sz w:val="28"/>
                <w:szCs w:val="28"/>
                <w:vertAlign w:val="baseline"/>
                <w:lang w:val="en-US" w:eastAsia="zh-CN"/>
              </w:rPr>
            </w:r>
            <w:r/>
          </w:p>
        </w:tc>
        <w:tc>
          <w:tcPr>
            <w:tcW w:w="1355" w:type="pct"/>
            <w:vAlign w:val="top"/>
            <w:textDirection w:val="lrTb"/>
            <w:noWrap w:val="false"/>
          </w:tcPr>
          <w:p>
            <w:pPr>
              <w:ind w:firstLine="0"/>
              <w:jc w:val="center"/>
              <w:keepLines w:val="0"/>
              <w:keepNext w:val="0"/>
              <w:pageBreakBefore w:val="0"/>
              <w:widowControl w:val="off"/>
              <w:rPr>
                <w:rFonts w:hint="default"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 xml:space="preserve">项目</w:t>
            </w:r>
            <w:r/>
          </w:p>
        </w:tc>
        <w:tc>
          <w:tcPr>
            <w:tcW w:w="520" w:type="pct"/>
            <w:vAlign w:val="top"/>
            <w:textDirection w:val="lrTb"/>
            <w:noWrap w:val="false"/>
          </w:tcPr>
          <w:p>
            <w:pPr>
              <w:ind w:firstLine="0"/>
              <w:jc w:val="center"/>
              <w:keepLines w:val="0"/>
              <w:keepNext w:val="0"/>
              <w:pageBreakBefore w:val="0"/>
              <w:widowControl w:val="off"/>
              <w:rPr>
                <w:rFonts w:hint="default"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 xml:space="preserve">单位</w:t>
            </w:r>
            <w:r/>
          </w:p>
        </w:tc>
        <w:tc>
          <w:tcPr>
            <w:tcW w:w="2429" w:type="pct"/>
            <w:vAlign w:val="top"/>
            <w:textDirection w:val="lrTb"/>
            <w:noWrap w:val="false"/>
          </w:tcPr>
          <w:p>
            <w:pPr>
              <w:ind w:firstLine="0"/>
              <w:jc w:val="center"/>
              <w:keepLines w:val="0"/>
              <w:keepNext w:val="0"/>
              <w:pageBreakBefore w:val="0"/>
              <w:widowControl w:val="off"/>
              <w:rPr>
                <w:rFonts w:hint="default"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 xml:space="preserve">参数</w:t>
            </w:r>
            <w:r/>
          </w:p>
        </w:tc>
      </w:tr>
      <w:tr>
        <w:trPr>
          <w:jc w:val="center"/>
        </w:trPr>
        <w:tc>
          <w:tcPr>
            <w:tcW w:w="694" w:type="pct"/>
            <w:vAlign w:val="center"/>
            <w:vMerge w:val="continue"/>
            <w:textDirection w:val="lrTb"/>
            <w:noWrap w:val="false"/>
          </w:tcPr>
          <w:p>
            <w:pPr>
              <w:jc w:val="center"/>
              <w:rPr>
                <w:rFonts w:hint="eastAsia"/>
                <w:sz w:val="28"/>
                <w:szCs w:val="28"/>
                <w:vertAlign w:val="baseline"/>
                <w:lang w:val="en-US" w:eastAsia="zh-CN"/>
              </w:rPr>
            </w:pPr>
            <w:r>
              <w:rPr>
                <w:rFonts w:hint="eastAsia"/>
                <w:sz w:val="28"/>
                <w:szCs w:val="28"/>
                <w:vertAlign w:val="baseline"/>
                <w:lang w:val="en-US" w:eastAsia="zh-CN"/>
              </w:rPr>
            </w:r>
            <w:r/>
          </w:p>
        </w:tc>
        <w:tc>
          <w:tcPr>
            <w:tcW w:w="2700" w:type="dxa"/>
            <w:vAlign w:val="top"/>
            <w:textDirection w:val="lrTb"/>
            <w:noWrap w:val="false"/>
          </w:tcPr>
          <w:p>
            <w:pPr>
              <w:ind w:firstLine="0"/>
              <w:jc w:val="center"/>
              <w:keepLines w:val="0"/>
              <w:keepNext w:val="0"/>
              <w:pageBreakBefore w:val="0"/>
              <w:widowControl w:val="off"/>
              <w:rPr>
                <w:rFonts w:hint="default"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 xml:space="preserve">发动机型号</w:t>
            </w:r>
            <w:r/>
          </w:p>
        </w:tc>
        <w:tc>
          <w:tcPr>
            <w:tcW w:w="520" w:type="pct"/>
            <w:vAlign w:val="top"/>
            <w:textDirection w:val="lrTb"/>
            <w:noWrap w:val="false"/>
          </w:tcPr>
          <w:p>
            <w:pPr>
              <w:ind w:firstLine="0"/>
              <w:jc w:val="center"/>
              <w:keepLines w:val="0"/>
              <w:keepNext w:val="0"/>
              <w:pageBreakBefore w:val="0"/>
              <w:widowControl w:val="off"/>
              <w:rPr>
                <w:rFonts w:hint="default"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 xml:space="preserve">/</w:t>
            </w:r>
            <w:r/>
          </w:p>
        </w:tc>
        <w:tc>
          <w:tcPr>
            <w:tcW w:w="2429" w:type="pct"/>
            <w:vAlign w:val="top"/>
            <w:textDirection w:val="lrTb"/>
            <w:noWrap w:val="false"/>
          </w:tcPr>
          <w:p>
            <w:pPr>
              <w:ind w:firstLine="0"/>
              <w:jc w:val="center"/>
              <w:keepLines w:val="0"/>
              <w:keepNext w:val="0"/>
              <w:pageBreakBefore w:val="0"/>
              <w:widowControl w:val="off"/>
              <w:rPr>
                <w:rFonts w:hint="default"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 xml:space="preserve">(国四)</w:t>
            </w:r>
            <w:r/>
          </w:p>
        </w:tc>
      </w:tr>
      <w:tr>
        <w:trPr>
          <w:jc w:val="center"/>
        </w:trPr>
        <w:tc>
          <w:tcPr>
            <w:tcW w:w="694" w:type="pct"/>
            <w:vAlign w:val="center"/>
            <w:vMerge w:val="continue"/>
            <w:textDirection w:val="lrTb"/>
            <w:noWrap w:val="false"/>
          </w:tcPr>
          <w:p>
            <w:pPr>
              <w:jc w:val="center"/>
              <w:rPr>
                <w:rFonts w:hint="eastAsia"/>
                <w:sz w:val="28"/>
                <w:szCs w:val="28"/>
                <w:vertAlign w:val="baseline"/>
                <w:lang w:val="en-US" w:eastAsia="zh-CN"/>
              </w:rPr>
            </w:pPr>
            <w:r>
              <w:rPr>
                <w:rFonts w:hint="eastAsia"/>
                <w:sz w:val="28"/>
                <w:szCs w:val="28"/>
                <w:vertAlign w:val="baseline"/>
                <w:lang w:val="en-US" w:eastAsia="zh-CN"/>
              </w:rPr>
            </w:r>
            <w:r/>
          </w:p>
        </w:tc>
        <w:tc>
          <w:tcPr>
            <w:tcW w:w="2700" w:type="dxa"/>
            <w:vAlign w:val="top"/>
            <w:textDirection w:val="lrTb"/>
            <w:noWrap w:val="false"/>
          </w:tcPr>
          <w:p>
            <w:pPr>
              <w:ind w:firstLine="0"/>
              <w:jc w:val="center"/>
              <w:keepLines w:val="0"/>
              <w:keepNext w:val="0"/>
              <w:pageBreakBefore w:val="0"/>
              <w:widowControl w:val="off"/>
              <w:rPr>
                <w:rFonts w:hint="default" w:ascii="仿宋" w:hAnsi="仿宋" w:eastAsia="仿宋" w:cs="仿宋"/>
                <w:sz w:val="28"/>
                <w:szCs w:val="28"/>
                <w:vertAlign w:val="baseline"/>
                <w:lang w:val="en-US" w:eastAsia="zh-CN"/>
              </w:rPr>
            </w:pPr>
            <w:r>
              <w:rPr>
                <w:rFonts w:hint="eastAsia" w:ascii="宋体" w:hAnsi="宋体" w:eastAsia="宋体" w:cs="宋体"/>
                <w:sz w:val="24"/>
                <w:szCs w:val="24"/>
                <w:highlight w:val="yellow"/>
                <w:lang w:val="en-US" w:eastAsia="zh-CN"/>
              </w:rPr>
              <w:t xml:space="preserve">▲</w:t>
            </w:r>
            <w:r>
              <w:rPr>
                <w:rFonts w:hint="eastAsia" w:ascii="仿宋" w:hAnsi="仿宋" w:eastAsia="仿宋" w:cs="仿宋"/>
                <w:sz w:val="28"/>
                <w:szCs w:val="28"/>
                <w:vertAlign w:val="baseline"/>
                <w:lang w:val="en-US" w:eastAsia="zh-CN"/>
              </w:rPr>
              <w:t xml:space="preserve">发动机功率</w:t>
            </w:r>
            <w:r/>
          </w:p>
        </w:tc>
        <w:tc>
          <w:tcPr>
            <w:tcW w:w="520" w:type="pct"/>
            <w:vAlign w:val="top"/>
            <w:textDirection w:val="lrTb"/>
            <w:noWrap w:val="false"/>
          </w:tcPr>
          <w:p>
            <w:pPr>
              <w:ind w:firstLine="0"/>
              <w:jc w:val="center"/>
              <w:keepLines w:val="0"/>
              <w:keepNext w:val="0"/>
              <w:pageBreakBefore w:val="0"/>
              <w:widowControl w:val="off"/>
              <w:rPr>
                <w:rFonts w:hint="default"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 xml:space="preserve">ps</w:t>
            </w:r>
            <w:r/>
          </w:p>
        </w:tc>
        <w:tc>
          <w:tcPr>
            <w:tcW w:w="2429" w:type="pct"/>
            <w:vAlign w:val="top"/>
            <w:textDirection w:val="lrTb"/>
            <w:noWrap w:val="false"/>
          </w:tcPr>
          <w:p>
            <w:pPr>
              <w:ind w:firstLine="0"/>
              <w:jc w:val="center"/>
              <w:keepLines w:val="0"/>
              <w:keepNext w:val="0"/>
              <w:pageBreakBefore w:val="0"/>
              <w:widowControl w:val="off"/>
              <w:rPr>
                <w:rFonts w:hint="default"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 xml:space="preserve">≥200</w:t>
            </w:r>
            <w:r/>
          </w:p>
        </w:tc>
      </w:tr>
      <w:tr>
        <w:trPr>
          <w:jc w:val="center"/>
        </w:trPr>
        <w:tc>
          <w:tcPr>
            <w:tcW w:w="694" w:type="pct"/>
            <w:vAlign w:val="center"/>
            <w:vMerge w:val="continue"/>
            <w:textDirection w:val="lrTb"/>
            <w:noWrap w:val="false"/>
          </w:tcPr>
          <w:p>
            <w:pPr>
              <w:jc w:val="center"/>
              <w:rPr>
                <w:rFonts w:hint="eastAsia"/>
                <w:sz w:val="28"/>
                <w:szCs w:val="28"/>
                <w:vertAlign w:val="baseline"/>
                <w:lang w:val="en-US" w:eastAsia="zh-CN"/>
              </w:rPr>
            </w:pPr>
            <w:r>
              <w:rPr>
                <w:rFonts w:hint="eastAsia"/>
                <w:sz w:val="28"/>
                <w:szCs w:val="28"/>
                <w:vertAlign w:val="baseline"/>
                <w:lang w:val="en-US" w:eastAsia="zh-CN"/>
              </w:rPr>
            </w:r>
            <w:r/>
          </w:p>
        </w:tc>
        <w:tc>
          <w:tcPr>
            <w:tcW w:w="2700" w:type="dxa"/>
            <w:vAlign w:val="top"/>
            <w:textDirection w:val="lrTb"/>
            <w:noWrap w:val="false"/>
          </w:tcPr>
          <w:p>
            <w:pPr>
              <w:ind w:firstLine="0"/>
              <w:jc w:val="center"/>
              <w:keepLines w:val="0"/>
              <w:keepNext w:val="0"/>
              <w:pageBreakBefore w:val="0"/>
              <w:widowControl w:val="off"/>
              <w:rPr>
                <w:rFonts w:hint="default"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 xml:space="preserve">驱动形式</w:t>
            </w:r>
            <w:r/>
          </w:p>
        </w:tc>
        <w:tc>
          <w:tcPr>
            <w:tcW w:w="520" w:type="pct"/>
            <w:vAlign w:val="top"/>
            <w:textDirection w:val="lrTb"/>
            <w:noWrap w:val="false"/>
          </w:tcPr>
          <w:p>
            <w:pPr>
              <w:ind w:firstLine="0"/>
              <w:jc w:val="center"/>
              <w:keepLines w:val="0"/>
              <w:keepNext w:val="0"/>
              <w:pageBreakBefore w:val="0"/>
              <w:widowControl w:val="off"/>
              <w:rPr>
                <w:rFonts w:hint="default" w:ascii="仿宋" w:hAnsi="仿宋" w:eastAsia="仿宋" w:cs="仿宋"/>
                <w:sz w:val="28"/>
                <w:szCs w:val="28"/>
                <w:vertAlign w:val="baseline"/>
                <w:lang w:val="en-US" w:eastAsia="zh-CN"/>
              </w:rPr>
            </w:pPr>
            <w:r>
              <w:rPr>
                <w:rFonts w:hint="default" w:ascii="仿宋" w:hAnsi="仿宋" w:eastAsia="仿宋" w:cs="仿宋"/>
                <w:sz w:val="28"/>
                <w:szCs w:val="28"/>
                <w:vertAlign w:val="baseline"/>
                <w:lang w:val="en-US" w:eastAsia="zh-CN"/>
              </w:rPr>
            </w:r>
            <w:r/>
          </w:p>
        </w:tc>
        <w:tc>
          <w:tcPr>
            <w:tcW w:w="2429" w:type="pct"/>
            <w:vAlign w:val="top"/>
            <w:textDirection w:val="lrTb"/>
            <w:noWrap w:val="false"/>
          </w:tcPr>
          <w:p>
            <w:pPr>
              <w:ind w:firstLine="0"/>
              <w:jc w:val="center"/>
              <w:keepLines w:val="0"/>
              <w:keepNext w:val="0"/>
              <w:pageBreakBefore w:val="0"/>
              <w:widowControl w:val="off"/>
              <w:rPr>
                <w:rFonts w:hint="default"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 xml:space="preserve">四驱</w:t>
            </w:r>
            <w:r/>
          </w:p>
        </w:tc>
      </w:tr>
      <w:tr>
        <w:trPr>
          <w:jc w:val="center"/>
        </w:trPr>
        <w:tc>
          <w:tcPr>
            <w:tcW w:w="694" w:type="pct"/>
            <w:vAlign w:val="center"/>
            <w:vMerge w:val="continue"/>
            <w:textDirection w:val="lrTb"/>
            <w:noWrap w:val="false"/>
          </w:tcPr>
          <w:p>
            <w:pPr>
              <w:jc w:val="center"/>
              <w:rPr>
                <w:rFonts w:hint="eastAsia"/>
                <w:sz w:val="28"/>
                <w:szCs w:val="28"/>
                <w:vertAlign w:val="baseline"/>
                <w:lang w:val="en-US" w:eastAsia="zh-CN"/>
              </w:rPr>
            </w:pPr>
            <w:r>
              <w:rPr>
                <w:rFonts w:hint="eastAsia"/>
                <w:sz w:val="28"/>
                <w:szCs w:val="28"/>
                <w:vertAlign w:val="baseline"/>
                <w:lang w:val="en-US" w:eastAsia="zh-CN"/>
              </w:rPr>
            </w:r>
            <w:r/>
          </w:p>
        </w:tc>
        <w:tc>
          <w:tcPr>
            <w:tcW w:w="2700" w:type="dxa"/>
            <w:vAlign w:val="top"/>
            <w:textDirection w:val="lrTb"/>
            <w:noWrap w:val="false"/>
          </w:tcPr>
          <w:p>
            <w:pPr>
              <w:ind w:firstLine="0"/>
              <w:jc w:val="center"/>
              <w:keepLines w:val="0"/>
              <w:keepNext w:val="0"/>
              <w:pageBreakBefore w:val="0"/>
              <w:widowControl w:val="off"/>
              <w:rPr>
                <w:rFonts w:hint="default"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 xml:space="preserve">档位</w:t>
            </w:r>
            <w:r/>
          </w:p>
        </w:tc>
        <w:tc>
          <w:tcPr>
            <w:tcW w:w="520" w:type="pct"/>
            <w:vAlign w:val="top"/>
            <w:textDirection w:val="lrTb"/>
            <w:noWrap w:val="false"/>
          </w:tcPr>
          <w:p>
            <w:pPr>
              <w:ind w:firstLine="0"/>
              <w:jc w:val="center"/>
              <w:keepLines w:val="0"/>
              <w:keepNext w:val="0"/>
              <w:pageBreakBefore w:val="0"/>
              <w:widowControl w:val="off"/>
              <w:rPr>
                <w:rFonts w:hint="default" w:ascii="仿宋" w:hAnsi="仿宋" w:eastAsia="仿宋" w:cs="仿宋"/>
                <w:sz w:val="28"/>
                <w:szCs w:val="28"/>
                <w:vertAlign w:val="baseline"/>
                <w:lang w:val="en-US" w:eastAsia="zh-CN"/>
              </w:rPr>
            </w:pPr>
            <w:r>
              <w:rPr>
                <w:rFonts w:hint="default" w:ascii="仿宋" w:hAnsi="仿宋" w:eastAsia="仿宋" w:cs="仿宋"/>
                <w:sz w:val="28"/>
                <w:szCs w:val="28"/>
                <w:vertAlign w:val="baseline"/>
                <w:lang w:val="en-US" w:eastAsia="zh-CN"/>
              </w:rPr>
            </w:r>
            <w:r/>
          </w:p>
        </w:tc>
        <w:tc>
          <w:tcPr>
            <w:tcW w:w="2429" w:type="pct"/>
            <w:vAlign w:val="top"/>
            <w:textDirection w:val="lrTb"/>
            <w:noWrap w:val="false"/>
          </w:tcPr>
          <w:p>
            <w:pPr>
              <w:ind w:firstLine="0"/>
              <w:jc w:val="center"/>
              <w:keepLines w:val="0"/>
              <w:keepNext w:val="0"/>
              <w:pageBreakBefore w:val="0"/>
              <w:widowControl w:val="off"/>
              <w:rPr>
                <w:rFonts w:hint="default"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 xml:space="preserve">≥24+8同步器（爬行档）</w:t>
            </w:r>
            <w:r/>
          </w:p>
        </w:tc>
      </w:tr>
      <w:tr>
        <w:trPr>
          <w:jc w:val="center"/>
        </w:trPr>
        <w:tc>
          <w:tcPr>
            <w:tcW w:w="694" w:type="pct"/>
            <w:vAlign w:val="center"/>
            <w:vMerge w:val="continue"/>
            <w:textDirection w:val="lrTb"/>
            <w:noWrap w:val="false"/>
          </w:tcPr>
          <w:p>
            <w:pPr>
              <w:jc w:val="center"/>
              <w:rPr>
                <w:rFonts w:hint="eastAsia"/>
                <w:sz w:val="28"/>
                <w:szCs w:val="28"/>
                <w:vertAlign w:val="baseline"/>
                <w:lang w:val="en-US" w:eastAsia="zh-CN"/>
              </w:rPr>
            </w:pPr>
            <w:r>
              <w:rPr>
                <w:rFonts w:hint="eastAsia"/>
                <w:sz w:val="28"/>
                <w:szCs w:val="28"/>
                <w:vertAlign w:val="baseline"/>
                <w:lang w:val="en-US" w:eastAsia="zh-CN"/>
              </w:rPr>
            </w:r>
            <w:r/>
          </w:p>
        </w:tc>
        <w:tc>
          <w:tcPr>
            <w:tcW w:w="2700" w:type="dxa"/>
            <w:vAlign w:val="top"/>
            <w:textDirection w:val="lrTb"/>
            <w:noWrap w:val="false"/>
          </w:tcPr>
          <w:p>
            <w:pPr>
              <w:ind w:firstLine="0"/>
              <w:jc w:val="center"/>
              <w:keepLines w:val="0"/>
              <w:keepNext w:val="0"/>
              <w:pageBreakBefore w:val="0"/>
              <w:widowControl w:val="off"/>
              <w:rPr>
                <w:rFonts w:hint="default" w:ascii="仿宋" w:hAnsi="仿宋" w:eastAsia="仿宋" w:cs="仿宋"/>
                <w:sz w:val="28"/>
                <w:szCs w:val="28"/>
                <w:vertAlign w:val="baseline"/>
                <w:lang w:val="en-US" w:eastAsia="zh-CN"/>
              </w:rPr>
            </w:pPr>
            <w:r>
              <w:rPr>
                <w:rFonts w:hint="eastAsia" w:ascii="宋体" w:hAnsi="宋体" w:eastAsia="宋体" w:cs="宋体"/>
                <w:sz w:val="24"/>
                <w:szCs w:val="24"/>
                <w:highlight w:val="yellow"/>
                <w:lang w:val="en-US" w:eastAsia="zh-CN"/>
              </w:rPr>
              <w:t xml:space="preserve">▲</w:t>
            </w:r>
            <w:r>
              <w:rPr>
                <w:rFonts w:hint="eastAsia" w:ascii="仿宋" w:hAnsi="仿宋" w:eastAsia="仿宋" w:cs="仿宋"/>
                <w:color w:val="ff0000"/>
                <w:sz w:val="28"/>
                <w:szCs w:val="28"/>
                <w:vertAlign w:val="baseline"/>
                <w:lang w:val="en-US" w:eastAsia="zh-CN"/>
              </w:rPr>
              <w:t xml:space="preserve">外形尺</w:t>
            </w:r>
            <w:r>
              <w:rPr>
                <w:rFonts w:hint="eastAsia" w:ascii="仿宋" w:hAnsi="仿宋" w:eastAsia="仿宋" w:cs="仿宋"/>
                <w:sz w:val="28"/>
                <w:szCs w:val="28"/>
                <w:vertAlign w:val="baseline"/>
                <w:lang w:val="en-US" w:eastAsia="zh-CN"/>
              </w:rPr>
              <w:t xml:space="preserve">寸</w:t>
            </w:r>
            <w:r/>
          </w:p>
        </w:tc>
        <w:tc>
          <w:tcPr>
            <w:tcW w:w="520" w:type="pct"/>
            <w:vAlign w:val="top"/>
            <w:textDirection w:val="lrTb"/>
            <w:noWrap w:val="false"/>
          </w:tcPr>
          <w:p>
            <w:pPr>
              <w:ind w:firstLine="0"/>
              <w:jc w:val="center"/>
              <w:keepLines w:val="0"/>
              <w:keepNext w:val="0"/>
              <w:pageBreakBefore w:val="0"/>
              <w:widowControl w:val="off"/>
              <w:rPr>
                <w:rFonts w:hint="default"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 xml:space="preserve">mm</w:t>
            </w:r>
            <w:r/>
          </w:p>
        </w:tc>
        <w:tc>
          <w:tcPr>
            <w:tcW w:w="2429" w:type="pct"/>
            <w:vAlign w:val="top"/>
            <w:textDirection w:val="lrTb"/>
            <w:noWrap w:val="false"/>
          </w:tcPr>
          <w:p>
            <w:pPr>
              <w:ind w:firstLine="0"/>
              <w:jc w:val="center"/>
              <w:keepLines w:val="0"/>
              <w:keepNext w:val="0"/>
              <w:pageBreakBefore w:val="0"/>
              <w:widowControl w:val="off"/>
              <w:rPr>
                <w:rFonts w:hint="default"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 xml:space="preserve">≥5400x2300x3200</w:t>
            </w:r>
            <w:r/>
          </w:p>
        </w:tc>
      </w:tr>
      <w:tr>
        <w:trPr>
          <w:jc w:val="center"/>
        </w:trPr>
        <w:tc>
          <w:tcPr>
            <w:tcW w:w="694" w:type="pct"/>
            <w:vAlign w:val="center"/>
            <w:vMerge w:val="continue"/>
            <w:textDirection w:val="lrTb"/>
            <w:noWrap w:val="false"/>
          </w:tcPr>
          <w:p>
            <w:pPr>
              <w:jc w:val="center"/>
              <w:rPr>
                <w:rFonts w:hint="eastAsia"/>
                <w:sz w:val="28"/>
                <w:szCs w:val="28"/>
                <w:vertAlign w:val="baseline"/>
                <w:lang w:val="en-US" w:eastAsia="zh-CN"/>
              </w:rPr>
            </w:pPr>
            <w:r>
              <w:rPr>
                <w:rFonts w:hint="eastAsia"/>
                <w:sz w:val="28"/>
                <w:szCs w:val="28"/>
                <w:vertAlign w:val="baseline"/>
                <w:lang w:val="en-US" w:eastAsia="zh-CN"/>
              </w:rPr>
            </w:r>
            <w:r/>
          </w:p>
        </w:tc>
        <w:tc>
          <w:tcPr>
            <w:tcW w:w="2700" w:type="dxa"/>
            <w:vAlign w:val="top"/>
            <w:textDirection w:val="lrTb"/>
            <w:noWrap w:val="false"/>
          </w:tcPr>
          <w:p>
            <w:pPr>
              <w:ind w:firstLine="0"/>
              <w:jc w:val="center"/>
              <w:keepLines w:val="0"/>
              <w:keepNext w:val="0"/>
              <w:pageBreakBefore w:val="0"/>
              <w:widowControl w:val="off"/>
              <w:rPr>
                <w:rFonts w:hint="default"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 xml:space="preserve">轴距</w:t>
            </w:r>
            <w:r/>
          </w:p>
        </w:tc>
        <w:tc>
          <w:tcPr>
            <w:tcW w:w="520" w:type="pct"/>
            <w:vAlign w:val="top"/>
            <w:textDirection w:val="lrTb"/>
            <w:noWrap w:val="false"/>
          </w:tcPr>
          <w:p>
            <w:pPr>
              <w:ind w:firstLine="0"/>
              <w:jc w:val="center"/>
              <w:keepLines w:val="0"/>
              <w:keepNext w:val="0"/>
              <w:pageBreakBefore w:val="0"/>
              <w:widowControl w:val="off"/>
              <w:rPr>
                <w:rFonts w:hint="default"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 xml:space="preserve">mm</w:t>
            </w:r>
            <w:r/>
          </w:p>
        </w:tc>
        <w:tc>
          <w:tcPr>
            <w:tcW w:w="2429" w:type="pct"/>
            <w:vAlign w:val="top"/>
            <w:textDirection w:val="lrTb"/>
            <w:noWrap w:val="false"/>
          </w:tcPr>
          <w:p>
            <w:pPr>
              <w:ind w:firstLine="0"/>
              <w:jc w:val="center"/>
              <w:keepLines w:val="0"/>
              <w:keepNext w:val="0"/>
              <w:pageBreakBefore w:val="0"/>
              <w:widowControl w:val="off"/>
              <w:rPr>
                <w:rFonts w:hint="default"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 xml:space="preserve">≥2740</w:t>
            </w:r>
            <w:r/>
          </w:p>
        </w:tc>
      </w:tr>
      <w:tr>
        <w:trPr>
          <w:jc w:val="center"/>
        </w:trPr>
        <w:tc>
          <w:tcPr>
            <w:tcW w:w="694" w:type="pct"/>
            <w:vAlign w:val="center"/>
            <w:vMerge w:val="continue"/>
            <w:textDirection w:val="lrTb"/>
            <w:noWrap w:val="false"/>
          </w:tcPr>
          <w:p>
            <w:pPr>
              <w:jc w:val="center"/>
              <w:rPr>
                <w:rFonts w:hint="eastAsia"/>
                <w:sz w:val="28"/>
                <w:szCs w:val="28"/>
                <w:vertAlign w:val="baseline"/>
                <w:lang w:val="en-US" w:eastAsia="zh-CN"/>
              </w:rPr>
            </w:pPr>
            <w:r>
              <w:rPr>
                <w:rFonts w:hint="eastAsia"/>
                <w:sz w:val="28"/>
                <w:szCs w:val="28"/>
                <w:vertAlign w:val="baseline"/>
                <w:lang w:val="en-US" w:eastAsia="zh-CN"/>
              </w:rPr>
            </w:r>
            <w:r/>
          </w:p>
        </w:tc>
        <w:tc>
          <w:tcPr>
            <w:tcW w:w="2700" w:type="dxa"/>
            <w:vAlign w:val="top"/>
            <w:textDirection w:val="lrTb"/>
            <w:noWrap w:val="false"/>
          </w:tcPr>
          <w:p>
            <w:pPr>
              <w:ind w:firstLine="0"/>
              <w:jc w:val="center"/>
              <w:keepLines w:val="0"/>
              <w:keepNext w:val="0"/>
              <w:pageBreakBefore w:val="0"/>
              <w:widowControl w:val="off"/>
              <w:rPr>
                <w:rFonts w:hint="default" w:ascii="仿宋" w:hAnsi="仿宋" w:eastAsia="仿宋" w:cs="仿宋"/>
                <w:sz w:val="28"/>
                <w:szCs w:val="28"/>
                <w:vertAlign w:val="baseline"/>
                <w:lang w:val="en-US" w:eastAsia="zh-CN"/>
              </w:rPr>
            </w:pPr>
            <w:r>
              <w:rPr>
                <w:rFonts w:hint="eastAsia" w:ascii="宋体" w:hAnsi="宋体" w:eastAsia="宋体" w:cs="宋体"/>
                <w:sz w:val="24"/>
                <w:szCs w:val="24"/>
                <w:highlight w:val="yellow"/>
                <w:lang w:val="en-US" w:eastAsia="zh-CN"/>
              </w:rPr>
              <w:t xml:space="preserve">▲</w:t>
            </w:r>
            <w:r>
              <w:rPr>
                <w:rFonts w:hint="eastAsia" w:ascii="仿宋" w:hAnsi="仿宋" w:eastAsia="仿宋" w:cs="仿宋"/>
                <w:sz w:val="28"/>
                <w:szCs w:val="28"/>
                <w:vertAlign w:val="baseline"/>
                <w:lang w:val="en-US" w:eastAsia="zh-CN"/>
              </w:rPr>
              <w:t xml:space="preserve">动力输出转速</w:t>
            </w:r>
            <w:r/>
          </w:p>
        </w:tc>
        <w:tc>
          <w:tcPr>
            <w:tcW w:w="520" w:type="pct"/>
            <w:vAlign w:val="top"/>
            <w:textDirection w:val="lrTb"/>
            <w:noWrap w:val="false"/>
          </w:tcPr>
          <w:p>
            <w:pPr>
              <w:ind w:firstLine="0"/>
              <w:jc w:val="center"/>
              <w:keepLines w:val="0"/>
              <w:keepNext w:val="0"/>
              <w:pageBreakBefore w:val="0"/>
              <w:widowControl w:val="off"/>
              <w:rPr>
                <w:rFonts w:hint="default"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 xml:space="preserve">转/分</w:t>
            </w:r>
            <w:r/>
          </w:p>
        </w:tc>
        <w:tc>
          <w:tcPr>
            <w:tcW w:w="2429" w:type="pct"/>
            <w:vAlign w:val="top"/>
            <w:textDirection w:val="lrTb"/>
            <w:noWrap w:val="false"/>
          </w:tcPr>
          <w:p>
            <w:pPr>
              <w:ind w:firstLine="0"/>
              <w:jc w:val="center"/>
              <w:keepLines w:val="0"/>
              <w:keepNext w:val="0"/>
              <w:pageBreakBefore w:val="0"/>
              <w:widowControl w:val="off"/>
              <w:rPr>
                <w:rFonts w:hint="default"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 xml:space="preserve">760/850</w:t>
            </w:r>
            <w:r/>
          </w:p>
        </w:tc>
      </w:tr>
      <w:tr>
        <w:trPr>
          <w:jc w:val="center"/>
        </w:trPr>
        <w:tc>
          <w:tcPr>
            <w:tcW w:w="694" w:type="pct"/>
            <w:vAlign w:val="center"/>
            <w:vMerge w:val="continue"/>
            <w:textDirection w:val="lrTb"/>
            <w:noWrap w:val="false"/>
          </w:tcPr>
          <w:p>
            <w:pPr>
              <w:jc w:val="center"/>
              <w:rPr>
                <w:rFonts w:hint="eastAsia"/>
                <w:sz w:val="28"/>
                <w:szCs w:val="28"/>
                <w:vertAlign w:val="baseline"/>
                <w:lang w:val="en-US" w:eastAsia="zh-CN"/>
              </w:rPr>
            </w:pPr>
            <w:r>
              <w:rPr>
                <w:rFonts w:hint="eastAsia"/>
                <w:sz w:val="28"/>
                <w:szCs w:val="28"/>
                <w:vertAlign w:val="baseline"/>
                <w:lang w:val="en-US" w:eastAsia="zh-CN"/>
              </w:rPr>
            </w:r>
            <w:r/>
          </w:p>
        </w:tc>
        <w:tc>
          <w:tcPr>
            <w:tcW w:w="2700" w:type="dxa"/>
            <w:vAlign w:val="top"/>
            <w:textDirection w:val="lrTb"/>
            <w:noWrap w:val="false"/>
          </w:tcPr>
          <w:p>
            <w:pPr>
              <w:ind w:firstLine="0"/>
              <w:jc w:val="center"/>
              <w:keepLines w:val="0"/>
              <w:keepNext w:val="0"/>
              <w:pageBreakBefore w:val="0"/>
              <w:widowControl w:val="off"/>
              <w:rPr>
                <w:rFonts w:hint="default" w:ascii="仿宋" w:hAnsi="仿宋" w:eastAsia="仿宋" w:cs="仿宋"/>
                <w:sz w:val="28"/>
                <w:szCs w:val="28"/>
                <w:vertAlign w:val="baseline"/>
                <w:lang w:val="en-US" w:eastAsia="zh-CN"/>
              </w:rPr>
            </w:pPr>
            <w:r>
              <w:rPr>
                <w:rFonts w:hint="eastAsia" w:ascii="宋体" w:hAnsi="宋体" w:eastAsia="宋体" w:cs="宋体"/>
                <w:sz w:val="24"/>
                <w:szCs w:val="24"/>
                <w:highlight w:val="yellow"/>
                <w:lang w:val="en-US" w:eastAsia="zh-CN"/>
              </w:rPr>
              <w:t xml:space="preserve">▲</w:t>
            </w:r>
            <w:r>
              <w:rPr>
                <w:rFonts w:hint="eastAsia" w:ascii="仿宋" w:hAnsi="仿宋" w:eastAsia="仿宋" w:cs="仿宋"/>
                <w:sz w:val="28"/>
                <w:szCs w:val="28"/>
                <w:vertAlign w:val="baseline"/>
                <w:lang w:val="en-US" w:eastAsia="zh-CN"/>
              </w:rPr>
              <w:t xml:space="preserve">标定牵引力</w:t>
            </w:r>
            <w:r/>
          </w:p>
        </w:tc>
        <w:tc>
          <w:tcPr>
            <w:tcW w:w="520" w:type="pct"/>
            <w:vAlign w:val="top"/>
            <w:textDirection w:val="lrTb"/>
            <w:noWrap w:val="false"/>
          </w:tcPr>
          <w:p>
            <w:pPr>
              <w:ind w:firstLine="0"/>
              <w:jc w:val="center"/>
              <w:keepLines w:val="0"/>
              <w:keepNext w:val="0"/>
              <w:pageBreakBefore w:val="0"/>
              <w:widowControl w:val="off"/>
              <w:rPr>
                <w:rFonts w:hint="default"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 xml:space="preserve">N</w:t>
            </w:r>
            <w:r/>
          </w:p>
        </w:tc>
        <w:tc>
          <w:tcPr>
            <w:tcW w:w="2429" w:type="pct"/>
            <w:vAlign w:val="top"/>
            <w:textDirection w:val="lrTb"/>
            <w:noWrap w:val="false"/>
          </w:tcPr>
          <w:p>
            <w:pPr>
              <w:ind w:firstLine="0"/>
              <w:jc w:val="center"/>
              <w:keepLines w:val="0"/>
              <w:keepNext w:val="0"/>
              <w:pageBreakBefore w:val="0"/>
              <w:widowControl w:val="off"/>
              <w:rPr>
                <w:rFonts w:hint="default"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 xml:space="preserve">≥40000</w:t>
            </w:r>
            <w:r/>
          </w:p>
        </w:tc>
      </w:tr>
      <w:tr>
        <w:trPr>
          <w:jc w:val="center"/>
        </w:trPr>
        <w:tc>
          <w:tcPr>
            <w:tcW w:w="694" w:type="pct"/>
            <w:vAlign w:val="center"/>
            <w:vMerge w:val="continue"/>
            <w:textDirection w:val="lrTb"/>
            <w:noWrap w:val="false"/>
          </w:tcPr>
          <w:p>
            <w:pPr>
              <w:jc w:val="center"/>
              <w:rPr>
                <w:rFonts w:hint="eastAsia"/>
                <w:sz w:val="28"/>
                <w:szCs w:val="28"/>
                <w:vertAlign w:val="baseline"/>
                <w:lang w:val="en-US" w:eastAsia="zh-CN"/>
              </w:rPr>
            </w:pPr>
            <w:r>
              <w:rPr>
                <w:rFonts w:hint="eastAsia"/>
                <w:sz w:val="28"/>
                <w:szCs w:val="28"/>
                <w:vertAlign w:val="baseline"/>
                <w:lang w:val="en-US" w:eastAsia="zh-CN"/>
              </w:rPr>
            </w:r>
            <w:r/>
          </w:p>
        </w:tc>
        <w:tc>
          <w:tcPr>
            <w:tcW w:w="2700" w:type="dxa"/>
            <w:vAlign w:val="top"/>
            <w:textDirection w:val="lrTb"/>
            <w:noWrap w:val="false"/>
          </w:tcPr>
          <w:p>
            <w:pPr>
              <w:ind w:firstLine="0"/>
              <w:jc w:val="center"/>
              <w:keepLines w:val="0"/>
              <w:keepNext w:val="0"/>
              <w:pageBreakBefore w:val="0"/>
              <w:widowControl w:val="off"/>
              <w:rPr>
                <w:rFonts w:hint="default"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 xml:space="preserve">轴距（前/后）</w:t>
            </w:r>
            <w:r/>
          </w:p>
        </w:tc>
        <w:tc>
          <w:tcPr>
            <w:tcW w:w="520" w:type="pct"/>
            <w:vAlign w:val="top"/>
            <w:textDirection w:val="lrTb"/>
            <w:noWrap w:val="false"/>
          </w:tcPr>
          <w:p>
            <w:pPr>
              <w:ind w:firstLine="0"/>
              <w:jc w:val="center"/>
              <w:keepLines w:val="0"/>
              <w:keepNext w:val="0"/>
              <w:pageBreakBefore w:val="0"/>
              <w:widowControl w:val="off"/>
              <w:rPr>
                <w:rFonts w:hint="default"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 xml:space="preserve">mm</w:t>
            </w:r>
            <w:r/>
          </w:p>
        </w:tc>
        <w:tc>
          <w:tcPr>
            <w:tcW w:w="2429" w:type="pct"/>
            <w:vAlign w:val="top"/>
            <w:textDirection w:val="lrTb"/>
            <w:noWrap w:val="false"/>
          </w:tcPr>
          <w:p>
            <w:pPr>
              <w:ind w:firstLine="0"/>
              <w:jc w:val="center"/>
              <w:keepLines w:val="0"/>
              <w:keepNext w:val="0"/>
              <w:pageBreakBefore w:val="0"/>
              <w:widowControl w:val="off"/>
              <w:rPr>
                <w:rFonts w:hint="default"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 xml:space="preserve">1840/1800</w:t>
            </w:r>
            <w:r/>
          </w:p>
        </w:tc>
      </w:tr>
      <w:tr>
        <w:trPr>
          <w:jc w:val="center"/>
        </w:trPr>
        <w:tc>
          <w:tcPr>
            <w:tcW w:w="694" w:type="pct"/>
            <w:vAlign w:val="center"/>
            <w:vMerge w:val="continue"/>
            <w:textDirection w:val="lrTb"/>
            <w:noWrap w:val="false"/>
          </w:tcPr>
          <w:p>
            <w:pPr>
              <w:jc w:val="center"/>
              <w:rPr>
                <w:rFonts w:hint="eastAsia"/>
                <w:sz w:val="28"/>
                <w:szCs w:val="28"/>
                <w:vertAlign w:val="baseline"/>
                <w:lang w:val="en-US" w:eastAsia="zh-CN"/>
              </w:rPr>
            </w:pPr>
            <w:r>
              <w:rPr>
                <w:rFonts w:hint="eastAsia"/>
                <w:sz w:val="28"/>
                <w:szCs w:val="28"/>
                <w:vertAlign w:val="baseline"/>
                <w:lang w:val="en-US" w:eastAsia="zh-CN"/>
              </w:rPr>
            </w:r>
            <w:r/>
          </w:p>
        </w:tc>
        <w:tc>
          <w:tcPr>
            <w:tcW w:w="2700" w:type="dxa"/>
            <w:vAlign w:val="top"/>
            <w:textDirection w:val="lrTb"/>
            <w:noWrap w:val="false"/>
          </w:tcPr>
          <w:p>
            <w:pPr>
              <w:ind w:firstLine="0"/>
              <w:jc w:val="center"/>
              <w:keepLines w:val="0"/>
              <w:keepNext w:val="0"/>
              <w:pageBreakBefore w:val="0"/>
              <w:widowControl w:val="off"/>
              <w:rPr>
                <w:rFonts w:hint="default"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 xml:space="preserve">前桥</w:t>
            </w:r>
            <w:r/>
          </w:p>
        </w:tc>
        <w:tc>
          <w:tcPr>
            <w:tcW w:w="520" w:type="pct"/>
            <w:vAlign w:val="top"/>
            <w:textDirection w:val="lrTb"/>
            <w:noWrap w:val="false"/>
          </w:tcPr>
          <w:p>
            <w:pPr>
              <w:ind w:firstLine="0"/>
              <w:jc w:val="center"/>
              <w:keepLines w:val="0"/>
              <w:keepNext w:val="0"/>
              <w:pageBreakBefore w:val="0"/>
              <w:widowControl w:val="off"/>
              <w:rPr>
                <w:rFonts w:hint="default" w:ascii="仿宋" w:hAnsi="仿宋" w:eastAsia="仿宋" w:cs="仿宋"/>
                <w:sz w:val="28"/>
                <w:szCs w:val="28"/>
                <w:vertAlign w:val="baseline"/>
                <w:lang w:val="en-US" w:eastAsia="zh-CN"/>
              </w:rPr>
            </w:pPr>
            <w:r>
              <w:rPr>
                <w:rFonts w:hint="default" w:ascii="仿宋" w:hAnsi="仿宋" w:eastAsia="仿宋" w:cs="仿宋"/>
                <w:sz w:val="28"/>
                <w:szCs w:val="28"/>
                <w:vertAlign w:val="baseline"/>
                <w:lang w:val="en-US" w:eastAsia="zh-CN"/>
              </w:rPr>
            </w:r>
            <w:r/>
          </w:p>
        </w:tc>
        <w:tc>
          <w:tcPr>
            <w:tcW w:w="2429" w:type="pct"/>
            <w:vAlign w:val="center"/>
            <w:textDirection w:val="lrTb"/>
            <w:noWrap w:val="false"/>
          </w:tcPr>
          <w:p>
            <w:pPr>
              <w:ind w:firstLine="0"/>
              <w:jc w:val="center"/>
              <w:keepLines w:val="0"/>
              <w:keepNext w:val="0"/>
              <w:pageBreakBefore w:val="0"/>
              <w:widowControl w:val="off"/>
              <w:rPr>
                <w:rFonts w:hint="default"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 xml:space="preserve">TG前桥</w:t>
            </w:r>
            <w:r/>
          </w:p>
        </w:tc>
      </w:tr>
      <w:tr>
        <w:trPr>
          <w:jc w:val="center"/>
        </w:trPr>
        <w:tc>
          <w:tcPr>
            <w:tcW w:w="694" w:type="pct"/>
            <w:vAlign w:val="center"/>
            <w:vMerge w:val="continue"/>
            <w:textDirection w:val="lrTb"/>
            <w:noWrap w:val="false"/>
          </w:tcPr>
          <w:p>
            <w:pPr>
              <w:jc w:val="center"/>
              <w:rPr>
                <w:rFonts w:hint="eastAsia"/>
                <w:sz w:val="28"/>
                <w:szCs w:val="28"/>
                <w:vertAlign w:val="baseline"/>
                <w:lang w:val="en-US" w:eastAsia="zh-CN"/>
              </w:rPr>
            </w:pPr>
            <w:r>
              <w:rPr>
                <w:rFonts w:hint="eastAsia"/>
                <w:sz w:val="28"/>
                <w:szCs w:val="28"/>
                <w:vertAlign w:val="baseline"/>
                <w:lang w:val="en-US" w:eastAsia="zh-CN"/>
              </w:rPr>
            </w:r>
            <w:r/>
          </w:p>
        </w:tc>
        <w:tc>
          <w:tcPr>
            <w:tcW w:w="2700" w:type="dxa"/>
            <w:vAlign w:val="top"/>
            <w:textDirection w:val="lrTb"/>
            <w:noWrap w:val="false"/>
          </w:tcPr>
          <w:p>
            <w:pPr>
              <w:ind w:firstLine="0"/>
              <w:jc w:val="center"/>
              <w:keepLines w:val="0"/>
              <w:keepNext w:val="0"/>
              <w:pageBreakBefore w:val="0"/>
              <w:widowControl w:val="off"/>
              <w:rPr>
                <w:rFonts w:hint="default"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 xml:space="preserve">多路阀</w:t>
            </w:r>
            <w:r/>
          </w:p>
        </w:tc>
        <w:tc>
          <w:tcPr>
            <w:tcW w:w="520" w:type="pct"/>
            <w:vAlign w:val="top"/>
            <w:textDirection w:val="lrTb"/>
            <w:noWrap w:val="false"/>
          </w:tcPr>
          <w:p>
            <w:pPr>
              <w:ind w:firstLine="0"/>
              <w:jc w:val="center"/>
              <w:keepLines w:val="0"/>
              <w:keepNext w:val="0"/>
              <w:pageBreakBefore w:val="0"/>
              <w:widowControl w:val="off"/>
              <w:rPr>
                <w:rFonts w:hint="default" w:ascii="仿宋" w:hAnsi="仿宋" w:eastAsia="仿宋" w:cs="仿宋"/>
                <w:sz w:val="28"/>
                <w:szCs w:val="28"/>
                <w:vertAlign w:val="baseline"/>
                <w:lang w:val="en-US" w:eastAsia="zh-CN"/>
              </w:rPr>
            </w:pPr>
            <w:r>
              <w:rPr>
                <w:rFonts w:hint="default" w:ascii="仿宋" w:hAnsi="仿宋" w:eastAsia="仿宋" w:cs="仿宋"/>
                <w:sz w:val="28"/>
                <w:szCs w:val="28"/>
                <w:vertAlign w:val="baseline"/>
                <w:lang w:val="en-US" w:eastAsia="zh-CN"/>
              </w:rPr>
            </w:r>
            <w:r/>
          </w:p>
        </w:tc>
        <w:tc>
          <w:tcPr>
            <w:tcW w:w="2429" w:type="pct"/>
            <w:vAlign w:val="center"/>
            <w:textDirection w:val="lrTb"/>
            <w:noWrap w:val="false"/>
          </w:tcPr>
          <w:p>
            <w:pPr>
              <w:ind w:firstLine="0"/>
              <w:jc w:val="center"/>
              <w:keepLines w:val="0"/>
              <w:keepNext w:val="0"/>
              <w:pageBreakBefore w:val="0"/>
              <w:widowControl w:val="off"/>
              <w:rPr>
                <w:rFonts w:hint="default"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 xml:space="preserve">≥3路阀</w:t>
            </w:r>
            <w:r/>
          </w:p>
        </w:tc>
      </w:tr>
      <w:tr>
        <w:trPr>
          <w:jc w:val="center"/>
        </w:trPr>
        <w:tc>
          <w:tcPr>
            <w:tcW w:w="694" w:type="pct"/>
            <w:vAlign w:val="center"/>
            <w:vMerge w:val="continue"/>
            <w:textDirection w:val="lrTb"/>
            <w:noWrap w:val="false"/>
          </w:tcPr>
          <w:p>
            <w:pPr>
              <w:jc w:val="center"/>
              <w:rPr>
                <w:rFonts w:hint="eastAsia"/>
                <w:sz w:val="28"/>
                <w:szCs w:val="28"/>
                <w:vertAlign w:val="baseline"/>
                <w:lang w:val="en-US" w:eastAsia="zh-CN"/>
              </w:rPr>
            </w:pPr>
            <w:r>
              <w:rPr>
                <w:rFonts w:hint="eastAsia"/>
                <w:sz w:val="28"/>
                <w:szCs w:val="28"/>
                <w:vertAlign w:val="baseline"/>
                <w:lang w:val="en-US" w:eastAsia="zh-CN"/>
              </w:rPr>
            </w:r>
            <w:r/>
          </w:p>
        </w:tc>
        <w:tc>
          <w:tcPr>
            <w:tcW w:w="2700" w:type="dxa"/>
            <w:vAlign w:val="top"/>
            <w:textDirection w:val="lrTb"/>
            <w:noWrap w:val="false"/>
          </w:tcPr>
          <w:p>
            <w:pPr>
              <w:ind w:firstLine="0"/>
              <w:jc w:val="center"/>
              <w:keepLines w:val="0"/>
              <w:keepNext w:val="0"/>
              <w:pageBreakBefore w:val="0"/>
              <w:widowControl w:val="off"/>
              <w:rPr>
                <w:rFonts w:hint="default"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 xml:space="preserve">油箱容积</w:t>
            </w:r>
            <w:r/>
          </w:p>
        </w:tc>
        <w:tc>
          <w:tcPr>
            <w:tcW w:w="520" w:type="pct"/>
            <w:vAlign w:val="top"/>
            <w:textDirection w:val="lrTb"/>
            <w:noWrap w:val="false"/>
          </w:tcPr>
          <w:p>
            <w:pPr>
              <w:ind w:firstLine="0"/>
              <w:jc w:val="center"/>
              <w:keepLines w:val="0"/>
              <w:keepNext w:val="0"/>
              <w:pageBreakBefore w:val="0"/>
              <w:widowControl w:val="off"/>
              <w:rPr>
                <w:rFonts w:hint="default"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 xml:space="preserve">L</w:t>
            </w:r>
            <w:r/>
          </w:p>
        </w:tc>
        <w:tc>
          <w:tcPr>
            <w:tcW w:w="2429" w:type="pct"/>
            <w:vAlign w:val="center"/>
            <w:textDirection w:val="lrTb"/>
            <w:noWrap w:val="false"/>
          </w:tcPr>
          <w:p>
            <w:pPr>
              <w:ind w:firstLine="0"/>
              <w:jc w:val="center"/>
              <w:keepLines w:val="0"/>
              <w:keepNext w:val="0"/>
              <w:pageBreakBefore w:val="0"/>
              <w:widowControl w:val="off"/>
              <w:rPr>
                <w:rFonts w:hint="default"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 xml:space="preserve">≥380</w:t>
            </w:r>
            <w:r/>
          </w:p>
        </w:tc>
      </w:tr>
      <w:tr>
        <w:trPr>
          <w:jc w:val="center"/>
        </w:trPr>
        <w:tc>
          <w:tcPr>
            <w:tcW w:w="694" w:type="pct"/>
            <w:vAlign w:val="center"/>
            <w:vMerge w:val="continue"/>
            <w:textDirection w:val="lrTb"/>
            <w:noWrap w:val="false"/>
          </w:tcPr>
          <w:p>
            <w:pPr>
              <w:jc w:val="center"/>
              <w:rPr>
                <w:rFonts w:hint="eastAsia"/>
                <w:sz w:val="28"/>
                <w:szCs w:val="28"/>
                <w:vertAlign w:val="baseline"/>
                <w:lang w:val="en-US" w:eastAsia="zh-CN"/>
              </w:rPr>
            </w:pPr>
            <w:r>
              <w:rPr>
                <w:rFonts w:hint="eastAsia"/>
                <w:sz w:val="28"/>
                <w:szCs w:val="28"/>
                <w:vertAlign w:val="baseline"/>
                <w:lang w:val="en-US" w:eastAsia="zh-CN"/>
              </w:rPr>
            </w:r>
            <w:r/>
          </w:p>
        </w:tc>
        <w:tc>
          <w:tcPr>
            <w:tcW w:w="2700" w:type="dxa"/>
            <w:vAlign w:val="top"/>
            <w:textDirection w:val="lrTb"/>
            <w:noWrap w:val="false"/>
          </w:tcPr>
          <w:p>
            <w:pPr>
              <w:ind w:firstLine="0"/>
              <w:jc w:val="center"/>
              <w:keepLines w:val="0"/>
              <w:keepNext w:val="0"/>
              <w:pageBreakBefore w:val="0"/>
              <w:widowControl w:val="off"/>
              <w:rPr>
                <w:rFonts w:hint="default"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 xml:space="preserve">提升器</w:t>
            </w:r>
            <w:r/>
          </w:p>
        </w:tc>
        <w:tc>
          <w:tcPr>
            <w:tcW w:w="520" w:type="pct"/>
            <w:vAlign w:val="top"/>
            <w:textDirection w:val="lrTb"/>
            <w:noWrap w:val="false"/>
          </w:tcPr>
          <w:p>
            <w:pPr>
              <w:ind w:firstLine="0"/>
              <w:jc w:val="center"/>
              <w:keepLines w:val="0"/>
              <w:keepNext w:val="0"/>
              <w:pageBreakBefore w:val="0"/>
              <w:widowControl w:val="off"/>
              <w:rPr>
                <w:rFonts w:hint="default" w:ascii="仿宋" w:hAnsi="仿宋" w:eastAsia="仿宋" w:cs="仿宋"/>
                <w:sz w:val="28"/>
                <w:szCs w:val="28"/>
                <w:vertAlign w:val="baseline"/>
                <w:lang w:val="en-US" w:eastAsia="zh-CN"/>
              </w:rPr>
            </w:pPr>
            <w:r>
              <w:rPr>
                <w:rFonts w:hint="default" w:ascii="仿宋" w:hAnsi="仿宋" w:eastAsia="仿宋" w:cs="仿宋"/>
                <w:sz w:val="28"/>
                <w:szCs w:val="28"/>
                <w:vertAlign w:val="baseline"/>
                <w:lang w:val="en-US" w:eastAsia="zh-CN"/>
              </w:rPr>
            </w:r>
            <w:r/>
          </w:p>
        </w:tc>
        <w:tc>
          <w:tcPr>
            <w:tcW w:w="2429" w:type="pct"/>
            <w:vAlign w:val="center"/>
            <w:textDirection w:val="lrTb"/>
            <w:noWrap w:val="false"/>
          </w:tcPr>
          <w:p>
            <w:pPr>
              <w:ind w:firstLine="0"/>
              <w:jc w:val="center"/>
              <w:keepLines w:val="0"/>
              <w:keepNext w:val="0"/>
              <w:pageBreakBefore w:val="0"/>
              <w:widowControl w:val="off"/>
              <w:rPr>
                <w:rFonts w:hint="default"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 xml:space="preserve">强压带截止阀</w:t>
            </w:r>
            <w:r/>
          </w:p>
        </w:tc>
      </w:tr>
      <w:tr>
        <w:trPr>
          <w:jc w:val="center"/>
        </w:trPr>
        <w:tc>
          <w:tcPr>
            <w:tcW w:w="694" w:type="pct"/>
            <w:vAlign w:val="center"/>
            <w:vMerge w:val="continue"/>
            <w:textDirection w:val="lrTb"/>
            <w:noWrap w:val="false"/>
          </w:tcPr>
          <w:p>
            <w:pPr>
              <w:jc w:val="center"/>
              <w:rPr>
                <w:rFonts w:hint="eastAsia"/>
                <w:sz w:val="28"/>
                <w:szCs w:val="28"/>
                <w:vertAlign w:val="baseline"/>
                <w:lang w:val="en-US" w:eastAsia="zh-CN"/>
              </w:rPr>
            </w:pPr>
            <w:r>
              <w:rPr>
                <w:rFonts w:hint="eastAsia"/>
                <w:sz w:val="28"/>
                <w:szCs w:val="28"/>
                <w:vertAlign w:val="baseline"/>
                <w:lang w:val="en-US" w:eastAsia="zh-CN"/>
              </w:rPr>
            </w:r>
            <w:r/>
          </w:p>
        </w:tc>
        <w:tc>
          <w:tcPr>
            <w:tcW w:w="2700" w:type="dxa"/>
            <w:vAlign w:val="top"/>
            <w:textDirection w:val="lrTb"/>
            <w:noWrap w:val="false"/>
          </w:tcPr>
          <w:p>
            <w:pPr>
              <w:ind w:firstLine="0"/>
              <w:jc w:val="center"/>
              <w:keepLines w:val="0"/>
              <w:keepNext w:val="0"/>
              <w:pageBreakBefore w:val="0"/>
              <w:widowControl w:val="off"/>
              <w:rPr>
                <w:rFonts w:hint="default"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 xml:space="preserve">轮胎规格</w:t>
            </w:r>
            <w:r/>
          </w:p>
        </w:tc>
        <w:tc>
          <w:tcPr>
            <w:tcW w:w="520" w:type="pct"/>
            <w:vAlign w:val="top"/>
            <w:textDirection w:val="lrTb"/>
            <w:noWrap w:val="false"/>
          </w:tcPr>
          <w:p>
            <w:pPr>
              <w:ind w:firstLine="0"/>
              <w:jc w:val="center"/>
              <w:keepLines w:val="0"/>
              <w:keepNext w:val="0"/>
              <w:pageBreakBefore w:val="0"/>
              <w:widowControl w:val="off"/>
              <w:rPr>
                <w:rFonts w:hint="default" w:ascii="仿宋" w:hAnsi="仿宋" w:eastAsia="仿宋" w:cs="仿宋"/>
                <w:sz w:val="28"/>
                <w:szCs w:val="28"/>
                <w:vertAlign w:val="baseline"/>
                <w:lang w:val="en-US" w:eastAsia="zh-CN"/>
              </w:rPr>
            </w:pPr>
            <w:r>
              <w:rPr>
                <w:rFonts w:hint="default" w:ascii="仿宋" w:hAnsi="仿宋" w:eastAsia="仿宋" w:cs="仿宋"/>
                <w:sz w:val="28"/>
                <w:szCs w:val="28"/>
                <w:vertAlign w:val="baseline"/>
                <w:lang w:val="en-US" w:eastAsia="zh-CN"/>
              </w:rPr>
            </w:r>
            <w:r/>
          </w:p>
        </w:tc>
        <w:tc>
          <w:tcPr>
            <w:tcW w:w="2429" w:type="pct"/>
            <w:vAlign w:val="center"/>
            <w:textDirection w:val="lrTb"/>
            <w:noWrap w:val="false"/>
          </w:tcPr>
          <w:p>
            <w:pPr>
              <w:ind w:firstLine="0"/>
              <w:jc w:val="center"/>
              <w:keepLines w:val="0"/>
              <w:keepNext w:val="0"/>
              <w:pageBreakBefore w:val="0"/>
              <w:widowControl w:val="off"/>
              <w:rPr>
                <w:rFonts w:hint="eastAsia"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 xml:space="preserve">14.9-26高花胎/18.4-38高花胎 全幅轮辋</w:t>
            </w:r>
            <w:r/>
          </w:p>
        </w:tc>
      </w:tr>
      <w:tr>
        <w:trPr>
          <w:jc w:val="center"/>
        </w:trPr>
        <w:tc>
          <w:tcPr>
            <w:tcW w:w="694" w:type="pct"/>
            <w:vAlign w:val="center"/>
            <w:vMerge w:val="continue"/>
            <w:textDirection w:val="lrTb"/>
            <w:noWrap w:val="false"/>
          </w:tcPr>
          <w:p>
            <w:pPr>
              <w:jc w:val="center"/>
              <w:rPr>
                <w:rFonts w:hint="eastAsia"/>
                <w:sz w:val="28"/>
                <w:szCs w:val="28"/>
                <w:vertAlign w:val="baseline"/>
                <w:lang w:val="en-US" w:eastAsia="zh-CN"/>
              </w:rPr>
            </w:pPr>
            <w:r>
              <w:rPr>
                <w:rFonts w:hint="eastAsia"/>
                <w:sz w:val="28"/>
                <w:szCs w:val="28"/>
                <w:vertAlign w:val="baseline"/>
                <w:lang w:val="en-US" w:eastAsia="zh-CN"/>
              </w:rPr>
            </w:r>
            <w:r/>
          </w:p>
        </w:tc>
        <w:tc>
          <w:tcPr>
            <w:tcW w:w="2700" w:type="dxa"/>
            <w:vAlign w:val="top"/>
            <w:textDirection w:val="lrTb"/>
            <w:noWrap w:val="false"/>
          </w:tcPr>
          <w:p>
            <w:pPr>
              <w:ind w:firstLine="0"/>
              <w:jc w:val="center"/>
              <w:keepLines w:val="0"/>
              <w:keepNext w:val="0"/>
              <w:pageBreakBefore w:val="0"/>
              <w:widowControl w:val="off"/>
              <w:rPr>
                <w:rFonts w:hint="default"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 xml:space="preserve">液压系统</w:t>
            </w:r>
            <w:r/>
          </w:p>
        </w:tc>
        <w:tc>
          <w:tcPr>
            <w:tcW w:w="520" w:type="pct"/>
            <w:vAlign w:val="top"/>
            <w:textDirection w:val="lrTb"/>
            <w:noWrap w:val="false"/>
          </w:tcPr>
          <w:p>
            <w:pPr>
              <w:ind w:firstLine="0"/>
              <w:jc w:val="center"/>
              <w:keepLines w:val="0"/>
              <w:keepNext w:val="0"/>
              <w:pageBreakBefore w:val="0"/>
              <w:widowControl w:val="off"/>
              <w:rPr>
                <w:rFonts w:hint="eastAsia"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r>
            <w:r/>
          </w:p>
        </w:tc>
        <w:tc>
          <w:tcPr>
            <w:tcW w:w="2429" w:type="pct"/>
            <w:vAlign w:val="center"/>
            <w:textDirection w:val="lrTb"/>
            <w:noWrap w:val="false"/>
          </w:tcPr>
          <w:p>
            <w:pPr>
              <w:ind w:firstLine="0"/>
              <w:jc w:val="center"/>
              <w:keepLines w:val="0"/>
              <w:keepNext w:val="0"/>
              <w:pageBreakBefore w:val="0"/>
              <w:widowControl w:val="off"/>
              <w:rPr>
                <w:rFonts w:hint="default"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 xml:space="preserve">共用油</w:t>
            </w:r>
            <w:r/>
          </w:p>
        </w:tc>
      </w:tr>
      <w:tr>
        <w:trPr>
          <w:jc w:val="center"/>
        </w:trPr>
        <w:tc>
          <w:tcPr>
            <w:tcW w:w="694" w:type="pct"/>
            <w:vAlign w:val="center"/>
            <w:vMerge w:val="continue"/>
            <w:textDirection w:val="lrTb"/>
            <w:noWrap w:val="false"/>
          </w:tcPr>
          <w:p>
            <w:pPr>
              <w:jc w:val="center"/>
              <w:rPr>
                <w:rFonts w:hint="eastAsia"/>
                <w:sz w:val="28"/>
                <w:szCs w:val="28"/>
                <w:vertAlign w:val="baseline"/>
                <w:lang w:val="en-US" w:eastAsia="zh-CN"/>
              </w:rPr>
            </w:pPr>
            <w:r>
              <w:rPr>
                <w:rFonts w:hint="eastAsia"/>
                <w:sz w:val="28"/>
                <w:szCs w:val="28"/>
                <w:vertAlign w:val="baseline"/>
                <w:lang w:val="en-US" w:eastAsia="zh-CN"/>
              </w:rPr>
            </w:r>
            <w:r/>
          </w:p>
        </w:tc>
        <w:tc>
          <w:tcPr>
            <w:tcW w:w="2700" w:type="dxa"/>
            <w:vAlign w:val="top"/>
            <w:textDirection w:val="lrTb"/>
            <w:noWrap w:val="false"/>
          </w:tcPr>
          <w:p>
            <w:pPr>
              <w:ind w:firstLine="0"/>
              <w:jc w:val="center"/>
              <w:keepLines w:val="0"/>
              <w:keepNext w:val="0"/>
              <w:pageBreakBefore w:val="0"/>
              <w:widowControl w:val="off"/>
              <w:rPr>
                <w:rFonts w:hint="default"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 xml:space="preserve">前配重</w:t>
            </w:r>
            <w:r/>
          </w:p>
        </w:tc>
        <w:tc>
          <w:tcPr>
            <w:tcW w:w="520" w:type="pct"/>
            <w:vAlign w:val="top"/>
            <w:textDirection w:val="lrTb"/>
            <w:noWrap w:val="false"/>
          </w:tcPr>
          <w:p>
            <w:pPr>
              <w:ind w:firstLine="0"/>
              <w:jc w:val="center"/>
              <w:keepLines w:val="0"/>
              <w:keepNext w:val="0"/>
              <w:pageBreakBefore w:val="0"/>
              <w:widowControl w:val="off"/>
              <w:rPr>
                <w:rFonts w:hint="eastAsia"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r>
            <w:r/>
          </w:p>
        </w:tc>
        <w:tc>
          <w:tcPr>
            <w:tcW w:w="2429" w:type="pct"/>
            <w:vAlign w:val="center"/>
            <w:textDirection w:val="lrTb"/>
            <w:noWrap w:val="false"/>
          </w:tcPr>
          <w:p>
            <w:pPr>
              <w:ind w:firstLine="0"/>
              <w:jc w:val="center"/>
              <w:keepLines w:val="0"/>
              <w:keepNext w:val="0"/>
              <w:pageBreakBefore w:val="0"/>
              <w:widowControl w:val="off"/>
              <w:rPr>
                <w:rFonts w:hint="default"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 xml:space="preserve">标准前配重</w:t>
            </w:r>
            <w:r/>
          </w:p>
        </w:tc>
      </w:tr>
      <w:tr>
        <w:trPr>
          <w:jc w:val="center"/>
          <w:trHeight w:val="515"/>
        </w:trPr>
        <w:tc>
          <w:tcPr>
            <w:tcW w:w="694" w:type="pct"/>
            <w:vAlign w:val="center"/>
            <w:vMerge w:val="continue"/>
            <w:textDirection w:val="lrTb"/>
            <w:noWrap w:val="false"/>
          </w:tcPr>
          <w:p>
            <w:pPr>
              <w:jc w:val="center"/>
              <w:rPr>
                <w:rFonts w:hint="eastAsia"/>
                <w:sz w:val="28"/>
                <w:szCs w:val="28"/>
                <w:vertAlign w:val="baseline"/>
                <w:lang w:val="en-US" w:eastAsia="zh-CN"/>
              </w:rPr>
            </w:pPr>
            <w:r>
              <w:rPr>
                <w:rFonts w:hint="eastAsia"/>
                <w:sz w:val="28"/>
                <w:szCs w:val="28"/>
                <w:vertAlign w:val="baseline"/>
                <w:lang w:val="en-US" w:eastAsia="zh-CN"/>
              </w:rPr>
            </w:r>
            <w:r/>
          </w:p>
        </w:tc>
        <w:tc>
          <w:tcPr>
            <w:tcW w:w="2700" w:type="dxa"/>
            <w:vAlign w:val="top"/>
            <w:textDirection w:val="lrTb"/>
            <w:noWrap w:val="false"/>
          </w:tcPr>
          <w:p>
            <w:pPr>
              <w:ind w:firstLine="0"/>
              <w:jc w:val="center"/>
              <w:keepLines w:val="0"/>
              <w:keepNext w:val="0"/>
              <w:pageBreakBefore w:val="0"/>
              <w:widowControl w:val="off"/>
              <w:rPr>
                <w:rFonts w:hint="default"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 xml:space="preserve">驾驶室/安全架</w:t>
            </w:r>
            <w:r/>
          </w:p>
        </w:tc>
        <w:tc>
          <w:tcPr>
            <w:tcW w:w="520" w:type="pct"/>
            <w:vAlign w:val="top"/>
            <w:textDirection w:val="lrTb"/>
            <w:noWrap w:val="false"/>
          </w:tcPr>
          <w:p>
            <w:pPr>
              <w:ind w:firstLine="0"/>
              <w:jc w:val="center"/>
              <w:keepLines w:val="0"/>
              <w:keepNext w:val="0"/>
              <w:pageBreakBefore w:val="0"/>
              <w:widowControl w:val="off"/>
              <w:rPr>
                <w:rFonts w:hint="eastAsia"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r>
            <w:r/>
          </w:p>
        </w:tc>
        <w:tc>
          <w:tcPr>
            <w:tcW w:w="2429" w:type="pct"/>
            <w:vAlign w:val="center"/>
            <w:textDirection w:val="lrTb"/>
            <w:noWrap w:val="false"/>
          </w:tcPr>
          <w:p>
            <w:pPr>
              <w:ind w:firstLine="0"/>
              <w:jc w:val="center"/>
              <w:keepLines w:val="0"/>
              <w:keepNext w:val="0"/>
              <w:pageBreakBefore w:val="0"/>
              <w:widowControl w:val="off"/>
              <w:rPr>
                <w:rFonts w:hint="default"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 xml:space="preserve">三代空调驾驶室</w:t>
            </w:r>
            <w:r/>
          </w:p>
        </w:tc>
      </w:tr>
    </w:tbl>
    <w:p>
      <w:pPr>
        <w:numPr>
          <w:ilvl w:val="0"/>
          <w:numId w:val="0"/>
        </w:numPr>
        <w:ind w:right="0"/>
        <w:jc w:val="both"/>
        <w:keepLines w:val="0"/>
        <w:keepNext w:val="0"/>
        <w:pageBreakBefore w:val="0"/>
        <w:spacing w:line="360" w:lineRule="auto"/>
        <w:widowControl w:val="off"/>
        <w:rPr>
          <w:rFonts w:hint="default" w:ascii="仿宋_GB2312" w:hAnsi="仿宋_GB2312" w:cs="仿宋_GB2312"/>
          <w:sz w:val="28"/>
          <w:szCs w:val="28"/>
          <w:lang w:val="en-US" w:eastAsia="zh-CN" w:bidi="ar-SA"/>
        </w:rPr>
      </w:pPr>
      <w:r>
        <w:rPr>
          <w:rFonts w:hint="default" w:ascii="仿宋_GB2312" w:hAnsi="仿宋_GB2312" w:cs="仿宋_GB2312"/>
          <w:sz w:val="28"/>
          <w:szCs w:val="28"/>
          <w:lang w:val="en-US" w:eastAsia="zh-CN" w:bidi="ar-SA"/>
        </w:rPr>
      </w:r>
      <w:r/>
    </w:p>
    <w:p>
      <w:pPr>
        <w:ind w:firstLine="720"/>
        <w:keepLines w:val="0"/>
        <w:keepNext w:val="0"/>
        <w:pageBreakBefore w:val="0"/>
        <w:spacing w:line="500" w:lineRule="exact"/>
        <w:widowControl w:val="off"/>
        <w:rPr>
          <w:rFonts w:hint="eastAsia" w:ascii="宋体" w:hAnsi="宋体" w:eastAsia="宋体" w:cs="Times New Roman"/>
          <w:bCs/>
          <w:color w:val="auto"/>
          <w:sz w:val="24"/>
          <w:highlight w:val="none"/>
          <w:lang w:val="zh-CN"/>
        </w:rPr>
      </w:pPr>
      <w:r>
        <w:rPr>
          <w:rFonts w:hint="eastAsia" w:ascii="宋体" w:hAnsi="宋体" w:eastAsia="宋体" w:cs="Times New Roman"/>
          <w:bCs/>
          <w:color w:val="auto"/>
          <w:sz w:val="24"/>
          <w:highlight w:val="none"/>
        </w:rPr>
        <w:t xml:space="preserve">1、</w:t>
      </w:r>
      <w:r>
        <w:rPr>
          <w:rFonts w:hint="eastAsia" w:ascii="宋体" w:hAnsi="宋体" w:eastAsia="宋体" w:cs="Times New Roman"/>
          <w:bCs/>
          <w:color w:val="auto"/>
          <w:sz w:val="24"/>
          <w:highlight w:val="none"/>
          <w:lang w:val="zh-CN"/>
        </w:rPr>
        <w:t xml:space="preserve">优先采购：政府采购优先采购节能产品和环境标志产品。</w:t>
      </w:r>
      <w:r/>
    </w:p>
    <w:p>
      <w:pPr>
        <w:ind w:firstLine="720"/>
        <w:keepLines w:val="0"/>
        <w:keepNext w:val="0"/>
        <w:pageBreakBefore w:val="0"/>
        <w:spacing w:line="500" w:lineRule="exact"/>
        <w:widowControl w:val="off"/>
        <w:rPr>
          <w:rFonts w:hint="eastAsia" w:ascii="宋体" w:hAnsi="宋体" w:eastAsia="宋体" w:cs="Times New Roman"/>
          <w:bCs/>
          <w:color w:val="auto"/>
          <w:sz w:val="24"/>
          <w:highlight w:val="none"/>
          <w:lang w:val="zh-CN"/>
        </w:rPr>
      </w:pPr>
      <w:r>
        <w:rPr>
          <w:rFonts w:hint="eastAsia" w:ascii="宋体" w:hAnsi="宋体" w:eastAsia="宋体" w:cs="Times New Roman"/>
          <w:bCs/>
          <w:color w:val="auto"/>
          <w:sz w:val="24"/>
          <w:highlight w:val="none"/>
        </w:rPr>
        <w:t xml:space="preserve">2、</w:t>
      </w:r>
      <w:r>
        <w:rPr>
          <w:rFonts w:hint="eastAsia" w:ascii="宋体" w:hAnsi="宋体" w:eastAsia="宋体" w:cs="Times New Roman"/>
          <w:bCs/>
          <w:color w:val="auto"/>
          <w:sz w:val="24"/>
          <w:highlight w:val="none"/>
          <w:lang w:val="zh-CN"/>
        </w:rPr>
        <w:t xml:space="preserve">产品要求：产品必须是全新、未使用过的原装合格正品，完全符合采购文件规定的质量、规格和性能的要求，达到国家或行业规定的标准，实行生产许可证制度的，应提供生产许可证；属于国家强制认证的产品，必须通过认证。</w:t>
      </w:r>
      <w:r/>
    </w:p>
    <w:p>
      <w:pPr>
        <w:ind w:firstLine="720"/>
        <w:keepLines w:val="0"/>
        <w:keepNext w:val="0"/>
        <w:pageBreakBefore w:val="0"/>
        <w:spacing w:line="500" w:lineRule="exact"/>
        <w:widowControl w:val="off"/>
        <w:rPr>
          <w:rFonts w:hint="eastAsia" w:ascii="宋体" w:hAnsi="宋体" w:eastAsia="宋体" w:cs="Times New Roman"/>
          <w:bCs/>
          <w:color w:val="000000" w:themeColor="text1"/>
          <w:sz w:val="24"/>
          <w:highlight w:val="none"/>
          <w14:textFill>
            <w14:solidFill>
              <w14:schemeClr w14:val="tx1"/>
            </w14:solidFill>
          </w14:textFill>
        </w:rPr>
      </w:pPr>
      <w:r>
        <w:rPr>
          <w:rFonts w:hint="eastAsia" w:ascii="宋体" w:hAnsi="宋体" w:eastAsia="宋体" w:cs="Times New Roman"/>
          <w:bCs/>
          <w:color w:val="auto"/>
          <w:sz w:val="24"/>
          <w:highlight w:val="none"/>
          <w:lang w:val="en-US" w:eastAsia="zh-CN"/>
        </w:rPr>
        <w:t xml:space="preserve">3、</w:t>
      </w:r>
      <w:r>
        <w:rPr>
          <w:rFonts w:hint="eastAsia" w:ascii="宋体" w:hAnsi="宋体" w:eastAsia="宋体" w:cs="Times New Roman"/>
          <w:bCs/>
          <w:color w:val="auto"/>
          <w:sz w:val="24"/>
          <w:highlight w:val="none"/>
          <w:lang w:val="zh-CN"/>
        </w:rPr>
        <w:t xml:space="preserve">甲方对乙方提供的车辆</w:t>
      </w:r>
      <w:r>
        <w:rPr>
          <w:rFonts w:hint="eastAsia" w:ascii="宋体" w:hAnsi="宋体" w:eastAsia="宋体" w:cs="Times New Roman"/>
          <w:bCs/>
          <w:color w:val="000000" w:themeColor="text1"/>
          <w:sz w:val="24"/>
          <w:highlight w:val="none"/>
          <w:lang w:val="zh-CN"/>
          <w14:textFill>
            <w14:solidFill>
              <w14:schemeClr w14:val="tx1"/>
            </w14:solidFill>
          </w14:textFill>
        </w:rPr>
        <w:t xml:space="preserve">在使用前进行调试时，乙方需负责安装并培训甲方</w:t>
      </w:r>
      <w:r>
        <w:rPr>
          <w:rFonts w:hint="eastAsia" w:ascii="宋体" w:hAnsi="宋体" w:cs="Times New Roman"/>
          <w:bCs/>
          <w:color w:val="000000" w:themeColor="text1"/>
          <w:sz w:val="24"/>
          <w:highlight w:val="none"/>
          <w:lang w:val="en-US" w:eastAsia="zh-CN"/>
          <w14:textFill>
            <w14:solidFill>
              <w14:schemeClr w14:val="tx1"/>
            </w14:solidFill>
          </w14:textFill>
        </w:rPr>
        <w:t xml:space="preserve">按排第三方</w:t>
      </w:r>
      <w:r>
        <w:rPr>
          <w:rFonts w:hint="eastAsia" w:ascii="宋体" w:hAnsi="宋体" w:eastAsia="宋体" w:cs="Times New Roman"/>
          <w:bCs/>
          <w:color w:val="000000" w:themeColor="text1"/>
          <w:sz w:val="24"/>
          <w:highlight w:val="none"/>
          <w:lang w:val="zh-CN"/>
          <w14:textFill>
            <w14:solidFill>
              <w14:schemeClr w14:val="tx1"/>
            </w14:solidFill>
          </w14:textFill>
        </w:rPr>
        <w:t xml:space="preserve">的使用操作人员，并协助甲方</w:t>
      </w:r>
      <w:r>
        <w:rPr>
          <w:rFonts w:hint="eastAsia" w:ascii="宋体" w:hAnsi="宋体" w:cs="Times New Roman"/>
          <w:bCs/>
          <w:color w:val="000000" w:themeColor="text1"/>
          <w:sz w:val="24"/>
          <w:highlight w:val="none"/>
          <w:lang w:val="en-US" w:eastAsia="zh-CN"/>
          <w14:textFill>
            <w14:solidFill>
              <w14:schemeClr w14:val="tx1"/>
            </w14:solidFill>
          </w14:textFill>
        </w:rPr>
        <w:t xml:space="preserve">安排的第三方</w:t>
      </w:r>
      <w:r>
        <w:rPr>
          <w:rFonts w:hint="eastAsia" w:ascii="宋体" w:hAnsi="宋体" w:eastAsia="宋体" w:cs="Times New Roman"/>
          <w:bCs/>
          <w:color w:val="000000" w:themeColor="text1"/>
          <w:sz w:val="24"/>
          <w:highlight w:val="none"/>
          <w:lang w:val="zh-CN"/>
          <w14:textFill>
            <w14:solidFill>
              <w14:schemeClr w14:val="tx1"/>
            </w14:solidFill>
          </w14:textFill>
        </w:rPr>
        <w:t xml:space="preserve">一起调试，直到符合技术要求，甲方才做最终验收。</w:t>
      </w:r>
      <w:r/>
    </w:p>
    <w:p>
      <w:pPr>
        <w:ind w:firstLine="720"/>
        <w:keepLines w:val="0"/>
        <w:keepNext w:val="0"/>
        <w:pageBreakBefore w:val="0"/>
        <w:spacing w:line="500" w:lineRule="exact"/>
        <w:widowControl w:val="off"/>
        <w:rPr>
          <w:rFonts w:hint="default" w:ascii="宋体" w:hAnsi="宋体" w:eastAsia="宋体" w:cs="Times New Roman"/>
          <w:bCs/>
          <w:color w:val="000000" w:themeColor="text1"/>
          <w:sz w:val="24"/>
          <w:highlight w:val="none"/>
          <w14:textFill>
            <w14:solidFill>
              <w14:schemeClr w14:val="tx1"/>
            </w14:solidFill>
          </w14:textFill>
        </w:rPr>
      </w:pPr>
      <w:r>
        <w:rPr>
          <w:rFonts w:hint="eastAsia" w:ascii="宋体" w:hAnsi="宋体" w:cs="Times New Roman"/>
          <w:bCs/>
          <w:color w:val="000000" w:themeColor="text1"/>
          <w:sz w:val="24"/>
          <w:highlight w:val="none"/>
          <w:lang w:val="en-US" w:eastAsia="zh-CN"/>
          <w14:textFill>
            <w14:solidFill>
              <w14:schemeClr w14:val="tx1"/>
            </w14:solidFill>
          </w14:textFill>
        </w:rPr>
        <w:t xml:space="preserve">4、</w:t>
      </w:r>
      <w:r>
        <w:rPr>
          <w:rFonts w:hint="eastAsia" w:ascii="宋体" w:hAnsi="宋体" w:cs="Times New Roman"/>
          <w:bCs/>
          <w:color w:val="000000" w:themeColor="text1"/>
          <w:sz w:val="24"/>
          <w:highlight w:val="cyan"/>
          <w:lang w:val="en-US" w:eastAsia="zh-CN"/>
          <w14:textFill>
            <w14:solidFill>
              <w14:schemeClr w14:val="tx1"/>
            </w14:solidFill>
          </w14:textFill>
        </w:rPr>
        <w:t xml:space="preserve">本项目允许正偏离</w:t>
      </w:r>
      <w:r>
        <w:rPr>
          <w:rFonts w:hint="eastAsia" w:ascii="宋体" w:hAnsi="宋体" w:cs="Times New Roman"/>
          <w:bCs/>
          <w:color w:val="000000" w:themeColor="text1"/>
          <w:sz w:val="24"/>
          <w:highlight w:val="none"/>
          <w:lang w:val="en-US" w:eastAsia="zh-CN"/>
          <w14:textFill>
            <w14:solidFill>
              <w14:schemeClr w14:val="tx1"/>
            </w14:solidFill>
          </w14:textFill>
        </w:rPr>
        <w:t xml:space="preserve">。</w:t>
      </w:r>
      <w:r/>
    </w:p>
    <w:p>
      <w:pPr>
        <w:numPr>
          <w:ilvl w:val="2"/>
          <w:numId w:val="0"/>
        </w:numPr>
        <w:ind w:left="0" w:right="0" w:firstLine="482"/>
        <w:keepLines w:val="0"/>
        <w:keepNext w:val="0"/>
        <w:pageBreakBefore w:val="0"/>
        <w:spacing w:line="360" w:lineRule="auto"/>
        <w:tabs>
          <w:tab w:val="left" w:pos="900" w:leader="none"/>
          <w:tab w:val="left" w:pos="1588" w:leader="none"/>
        </w:tabs>
        <w:rPr>
          <w:rFonts w:hint="eastAsia" w:ascii="宋体" w:hAnsi="宋体" w:eastAsia="宋体" w:cs="宋体"/>
          <w:b/>
          <w:bCs/>
          <w:sz w:val="24"/>
          <w:szCs w:val="24"/>
          <w:highlight w:val="none"/>
        </w:rPr>
        <w:outlineLvl w:val="2"/>
      </w:pPr>
      <w:r>
        <w:rPr>
          <w:rFonts w:hint="eastAsia" w:ascii="宋体" w:hAnsi="宋体" w:eastAsia="宋体" w:cs="宋体"/>
          <w:b/>
          <w:bCs/>
          <w:sz w:val="24"/>
          <w:szCs w:val="24"/>
          <w:highlight w:val="none"/>
          <w:lang w:eastAsia="zh-CN"/>
        </w:rPr>
        <w:t xml:space="preserve">二</w:t>
      </w:r>
      <w:r>
        <w:rPr>
          <w:rFonts w:hint="eastAsia" w:ascii="宋体" w:hAnsi="宋体" w:eastAsia="宋体" w:cs="宋体"/>
          <w:b/>
          <w:bCs/>
          <w:sz w:val="24"/>
          <w:szCs w:val="24"/>
          <w:highlight w:val="none"/>
        </w:rPr>
        <w:t xml:space="preserve">、项目商务要求 </w:t>
      </w:r>
      <w:r/>
    </w:p>
    <w:p>
      <w:pPr>
        <w:ind w:left="0" w:right="0"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（一）基本要求</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1、质量标准：有国家标准的执行国家标准，无国家标准的执行行业标准，无行业标准的执行地方标准，无地方标准的执行企业标准。生产制造所需要的所有主材和辅助材料的质量、安全符合国家规定。</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供应商提供的货物（含配件）应是全新的、未使用过的原装合格正品，并保证所提供货物的开箱合格率为100%，外观和内在质量都不得有任何问题。在各个方面符合合同规定的质量、规格和性能要求。在规定的质保期内，中标单位应对由于设计、工艺或材料的缺陷或故障负责。在未验收前，货物保管、安全均由中标单位负责。</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3、所提供的技术资料（含软件）完整正确，数据和资料准确无误，能够保证设备按时正确地安装、调试和验收，并能满足正常运行和维修保养的需要。</w:t>
      </w:r>
      <w:r/>
    </w:p>
    <w:p>
      <w:pPr>
        <w:ind w:left="0" w:right="0"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不接受试制、不成熟、未定型的产品，供方所提供产品的技术规格和标准必须符合中华人民共和国有关部门最新颁布的标准及规范以及本招标文件的要求。如有不符合的，由供方承担全部责任。产品及主要部件均须非停产设备，并提供备品备件、附件和耗材的供应。</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、如未能达到相关要求，采购人有权退货并要求中标单位赔偿损失。</w:t>
      </w:r>
      <w:r/>
    </w:p>
    <w:p>
      <w:pPr>
        <w:ind w:left="0" w:right="0"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（二）验收</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1、采购人以</w:t>
      </w:r>
      <w:r>
        <w:rPr>
          <w:rFonts w:hint="eastAsia" w:ascii="宋体" w:hAnsi="宋体" w:eastAsia="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、中标人的</w:t>
      </w: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文件、承诺、合同为依据，成立验收小组，负责对项目进行全面的验收，中标人须向采购人提供详细的验收方案。</w:t>
      </w:r>
      <w:bookmarkStart w:id="190" w:name="_Toc146334219"/>
      <w:r/>
      <w:bookmarkEnd w:id="190"/>
      <w:r/>
      <w:bookmarkStart w:id="191" w:name="_Toc146167290"/>
      <w:r/>
      <w:bookmarkEnd w:id="191"/>
      <w:r/>
      <w:bookmarkStart w:id="192" w:name="_Toc146167288"/>
      <w:r/>
      <w:bookmarkEnd w:id="192"/>
      <w:r/>
      <w:bookmarkStart w:id="193" w:name="_Toc146334222"/>
      <w:r/>
      <w:bookmarkEnd w:id="193"/>
      <w:r/>
      <w:bookmarkStart w:id="194" w:name="_Toc146334220"/>
      <w:r/>
      <w:bookmarkEnd w:id="194"/>
      <w:r/>
      <w:bookmarkStart w:id="195" w:name="_Toc146334221"/>
      <w:r/>
      <w:bookmarkEnd w:id="195"/>
      <w:r/>
      <w:bookmarkStart w:id="196" w:name="_Toc146167289"/>
      <w:r/>
      <w:bookmarkEnd w:id="196"/>
      <w:r/>
      <w:bookmarkStart w:id="197" w:name="_Toc146167287"/>
      <w:r/>
      <w:bookmarkEnd w:id="197"/>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货物的验收包括:数量、外观、质量、性能、随机备件备品、装箱单、随机资料及包装；所有设备和附（配）件应符合其规定的性能，无瑕疵和缺陷，质量为合格产品，同时有明确的生产制造厂商。中标供应商对质量问题负责包退、包换和包修，因此发生的费用由中标供应商自行负责。</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3、设备到达采购方指定地点，应提前通知采购人，由采购人根据有关清单进行验收。</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shd w:val="clear" w:color="auto" w:fill="ffffff"/>
        </w:rPr>
        <w:t xml:space="preserve">中标人应派有资格、有经验的人员负责进行安装、调试，须在合同规定的工期内完成调试；在调试工作完成后，根据相关部门规定的验收方案，严格按照有关要求及标准，对整个项目进行验收；交付使用时要同时向采购人提供详细的技术文件、调试报告、安装记录。</w:t>
      </w:r>
      <w:r/>
    </w:p>
    <w:p>
      <w:pPr>
        <w:ind w:left="0" w:right="0" w:firstLine="482"/>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（三）质保、维修及售后服务</w:t>
      </w:r>
      <w:r>
        <w:rPr>
          <w:rFonts w:hint="eastAsia" w:ascii="宋体" w:hAnsi="宋体" w:eastAsia="宋体" w:cs="宋体"/>
          <w:b/>
          <w:color w:val="auto"/>
          <w:sz w:val="24"/>
          <w:szCs w:val="24"/>
          <w:highlight w:val="none"/>
          <w:lang w:val="en-US" w:eastAsia="zh-CN"/>
        </w:rPr>
        <w:t xml:space="preserve"> </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1、质量保证</w:t>
      </w:r>
      <w:r/>
    </w:p>
    <w:p>
      <w:pPr>
        <w:ind w:right="0" w:firstLine="241"/>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1 \* GB3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①</w:t>
      </w:r>
      <w:r>
        <w:rPr>
          <w:rFonts w:hint="eastAsia" w:ascii="宋体" w:hAnsi="宋体" w:eastAsia="宋体" w:cs="宋体"/>
          <w:color w:val="auto"/>
          <w:sz w:val="24"/>
          <w:szCs w:val="24"/>
          <w:highlight w:val="none"/>
        </w:rPr>
        <w:fldChar w:fldCharType="end"/>
      </w:r>
      <w:r>
        <w:rPr>
          <w:rFonts w:hint="eastAsia" w:ascii="宋体" w:hAnsi="宋体" w:cs="宋体"/>
          <w:color w:val="auto"/>
          <w:sz w:val="24"/>
          <w:szCs w:val="24"/>
          <w:highlight w:val="none"/>
          <w:lang w:val="en-US" w:eastAsia="zh-CN"/>
        </w:rPr>
        <w:t xml:space="preserve">质量标准：合格，</w:t>
      </w:r>
      <w:r>
        <w:rPr>
          <w:rFonts w:hint="eastAsia" w:ascii="宋体" w:hAnsi="宋体" w:eastAsia="宋体" w:cs="宋体"/>
          <w:color w:val="auto"/>
          <w:sz w:val="24"/>
          <w:szCs w:val="24"/>
          <w:highlight w:val="none"/>
        </w:rPr>
        <w:t xml:space="preserve">所提供的货物，若技术性能无特殊说明，则按生产企业或国家有关部</w:t>
      </w:r>
      <w:r>
        <w:rPr>
          <w:rFonts w:hint="eastAsia" w:ascii="宋体" w:hAnsi="宋体" w:eastAsia="宋体" w:cs="宋体"/>
          <w:color w:val="auto"/>
          <w:sz w:val="24"/>
          <w:szCs w:val="24"/>
          <w:highlight w:val="none"/>
          <w:lang w:val="en-US" w:eastAsia="zh-CN"/>
        </w:rPr>
        <w:t xml:space="preserve">门最新颁布的标准及规范为准。</w:t>
      </w:r>
      <w:r/>
    </w:p>
    <w:p>
      <w:pPr>
        <w:ind w:right="0" w:firstLine="241"/>
        <w:keepLines w:val="0"/>
        <w:keepNext w:val="0"/>
        <w:pageBreakBefore w:val="0"/>
        <w:spacing w:line="360" w:lineRule="auto"/>
        <w:widowControl w:val="off"/>
        <w:rPr>
          <w:rFonts w:hint="default" w:ascii="宋体" w:hAnsi="宋体" w:eastAsia="宋体" w:cs="宋体"/>
          <w:color w:val="auto"/>
          <w:sz w:val="24"/>
          <w:szCs w:val="24"/>
          <w:highlight w:val="cyan"/>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2 \* GB3 \* MERGEFORMAT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免费质保期</w:t>
      </w:r>
      <w:r>
        <w:rPr>
          <w:rFonts w:hint="eastAsia" w:ascii="宋体" w:hAnsi="宋体" w:eastAsia="宋体" w:cs="宋体"/>
          <w:color w:val="auto"/>
          <w:sz w:val="24"/>
          <w:szCs w:val="24"/>
          <w:highlight w:val="cyan"/>
          <w:lang w:val="en-US" w:eastAsia="zh-CN"/>
        </w:rPr>
        <w:t xml:space="preserve">：1年(自项目验收之日起)。成交人应对其提供的货物进行免费质保，质保期满后，维修仅收取成本费。 </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2、售后服务</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（1）按照国家有关法律法规规章和“三包”规定以及合同所附的“服务承诺”提供服务。</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（2）对于正常使用情况下出现的故障，成交人应在2小时内作出响应。如产品出现损坏，要及时更换并提供备件，最短的时间保证产品正常使用。</w:t>
      </w:r>
      <w:r/>
    </w:p>
    <w:p>
      <w:pPr>
        <w:ind w:left="0" w:righ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auto"/>
          <w:sz w:val="24"/>
          <w:szCs w:val="24"/>
          <w:highlight w:val="none"/>
        </w:rPr>
        <w:t xml:space="preserve">（3）质保期内，乙方每隔一段时间回访甲方一次，解决甲方提出的问题（如有），并提供必要的服务和指导。在质保期间，所有出现故障应迅速修复或更换，并承担由此所发生的全部费</w:t>
      </w:r>
      <w:r>
        <w:rPr>
          <w:rFonts w:hint="eastAsia" w:ascii="宋体" w:hAnsi="宋体" w:eastAsia="宋体" w:cs="宋体"/>
          <w:color w:val="000000" w:themeColor="text1"/>
          <w:sz w:val="24"/>
          <w:szCs w:val="24"/>
          <w:highlight w:val="none"/>
          <w14:textFill>
            <w14:solidFill>
              <w14:schemeClr w14:val="tx1"/>
            </w14:solidFill>
          </w14:textFill>
        </w:rPr>
        <w:t xml:space="preserve">用。</w:t>
      </w:r>
      <w:r/>
    </w:p>
    <w:p>
      <w:pPr>
        <w:numPr>
          <w:ilvl w:val="0"/>
          <w:numId w:val="0"/>
        </w:numPr>
        <w:ind w:firstLine="241"/>
        <w:pageBreakBefore w:val="0"/>
        <w:spacing w:line="360" w:lineRule="auto"/>
        <w:rPr>
          <w:rFonts w:hint="eastAsia" w:ascii="宋体" w:hAnsi="宋体" w:eastAsia="宋体" w:cs="Times New Roman"/>
          <w:b/>
          <w:bCs/>
          <w:color w:val="000000" w:themeColor="text1"/>
          <w:sz w:val="24"/>
          <w:szCs w:val="28"/>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四</w:t>
      </w:r>
      <w:r>
        <w:rPr>
          <w:rFonts w:hint="eastAsia" w:ascii="宋体" w:hAnsi="宋体" w:eastAsia="宋体" w:cs="宋体"/>
          <w:b/>
          <w:color w:val="000000" w:themeColor="text1"/>
          <w:sz w:val="24"/>
          <w:szCs w:val="24"/>
          <w:highlight w:val="none"/>
          <w14:textFill>
            <w14:solidFill>
              <w14:schemeClr w14:val="tx1"/>
            </w14:solidFill>
          </w14:textFill>
        </w:rPr>
        <w:t xml:space="preserve">）</w:t>
      </w:r>
      <w:r>
        <w:rPr>
          <w:rFonts w:hint="eastAsia" w:ascii="宋体" w:hAnsi="宋体" w:eastAsia="宋体" w:cs="Times New Roman"/>
          <w:b/>
          <w:bCs/>
          <w:color w:val="000000" w:themeColor="text1"/>
          <w:sz w:val="24"/>
          <w:szCs w:val="28"/>
          <w:highlight w:val="none"/>
          <w:lang w:val="en-US" w:eastAsia="zh-CN" w:bidi="ar-SA"/>
          <w14:textFill>
            <w14:solidFill>
              <w14:schemeClr w14:val="tx1"/>
            </w14:solidFill>
          </w14:textFill>
        </w:rPr>
        <w:t xml:space="preserve">交付条款：</w:t>
      </w:r>
      <w:r/>
    </w:p>
    <w:p>
      <w:pPr>
        <w:ind w:left="0" w:righ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cyan"/>
          <w14:textFill>
            <w14:solidFill>
              <w14:schemeClr w14:val="tx1"/>
            </w14:solidFill>
          </w14:textFill>
        </w:rPr>
        <w:t xml:space="preserve">★</w:t>
      </w:r>
      <w:r>
        <w:rPr>
          <w:rFonts w:hint="eastAsia" w:ascii="宋体" w:hAnsi="宋体" w:eastAsia="宋体" w:cs="宋体"/>
          <w:color w:val="000000" w:themeColor="text1"/>
          <w:sz w:val="24"/>
          <w:szCs w:val="24"/>
          <w:highlight w:val="cyan"/>
          <w:lang w:val="en-US" w:eastAsia="zh-CN"/>
          <w14:textFill>
            <w14:solidFill>
              <w14:schemeClr w14:val="tx1"/>
            </w14:solidFill>
          </w14:textFill>
        </w:rPr>
        <w:t xml:space="preserve">4.1合同履行期限：</w:t>
      </w:r>
      <w:r>
        <w:rPr>
          <w:rFonts w:hint="eastAsia" w:ascii="宋体" w:hAnsi="宋体" w:cs="宋体"/>
          <w:bCs/>
          <w:color w:val="000000" w:themeColor="text1"/>
          <w:sz w:val="24"/>
          <w:szCs w:val="24"/>
          <w:highlight w:val="cyan"/>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cyan"/>
          <w14:textFill>
            <w14:solidFill>
              <w14:schemeClr w14:val="tx1"/>
            </w14:solidFill>
          </w14:textFill>
        </w:rPr>
        <w:t xml:space="preserve">日历天完成供货、安装调试、验收合格并正常使用；</w:t>
      </w:r>
      <w:r/>
    </w:p>
    <w:p>
      <w:pPr>
        <w:ind w:left="0" w:righ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4.2 交付方式：项目需求单位指定方式</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4.3 交付地点：项目需求单位指定地点</w:t>
      </w:r>
      <w:r/>
    </w:p>
    <w:p>
      <w:pPr>
        <w:numPr>
          <w:ilvl w:val="2"/>
          <w:numId w:val="0"/>
        </w:numPr>
        <w:ind w:left="0" w:right="0" w:firstLine="482"/>
        <w:keepLines w:val="0"/>
        <w:keepNext w:val="0"/>
        <w:pageBreakBefore w:val="0"/>
        <w:spacing w:line="360" w:lineRule="auto"/>
        <w:tabs>
          <w:tab w:val="left" w:pos="900" w:leader="none"/>
          <w:tab w:val="left" w:pos="1588" w:leader="none"/>
        </w:tabs>
        <w:rPr>
          <w:rFonts w:hint="eastAsia" w:ascii="宋体" w:hAnsi="宋体" w:eastAsia="宋体" w:cs="宋体"/>
          <w:b/>
          <w:sz w:val="24"/>
          <w:szCs w:val="24"/>
          <w:highlight w:val="none"/>
          <w:lang w:val="en-US" w:eastAsia="zh-CN"/>
        </w:rPr>
        <w:outlineLvl w:val="2"/>
      </w:pPr>
      <w:r/>
      <w:bookmarkStart w:id="198" w:name="_Toc26874"/>
      <w:r>
        <w:rPr>
          <w:rFonts w:hint="eastAsia" w:ascii="宋体" w:hAnsi="宋体" w:eastAsia="宋体" w:cs="宋体"/>
          <w:b/>
          <w:bCs/>
          <w:sz w:val="24"/>
          <w:szCs w:val="24"/>
          <w:highlight w:val="none"/>
          <w:lang w:val="en-US" w:eastAsia="zh-CN"/>
        </w:rPr>
        <w:t xml:space="preserve">三</w:t>
      </w:r>
      <w:r>
        <w:rPr>
          <w:rFonts w:hint="eastAsia" w:ascii="宋体" w:hAnsi="宋体" w:eastAsia="宋体" w:cs="宋体"/>
          <w:b/>
          <w:bCs/>
          <w:sz w:val="24"/>
          <w:szCs w:val="24"/>
          <w:highlight w:val="none"/>
        </w:rPr>
        <w:t xml:space="preserve">、报价要求</w:t>
      </w:r>
      <w:bookmarkEnd w:id="198"/>
      <w:r>
        <w:rPr>
          <w:rFonts w:hint="eastAsia" w:ascii="宋体" w:hAnsi="宋体" w:eastAsia="宋体" w:cs="宋体"/>
          <w:b/>
          <w:bCs/>
          <w:sz w:val="24"/>
          <w:szCs w:val="24"/>
          <w:highlight w:val="none"/>
          <w:lang w:val="en-US" w:eastAsia="zh-CN"/>
        </w:rPr>
        <w:t xml:space="preserve">及付款</w:t>
      </w:r>
      <w:r/>
    </w:p>
    <w:p>
      <w:pPr>
        <w:numPr>
          <w:ilvl w:val="0"/>
          <w:numId w:val="9"/>
        </w:numPr>
        <w:ind w:left="0" w:righ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本次供应商的报价应包括为完成本项目发生的所有费用，报价包含但不限于全部软、硬件设备、辅助材料、安装、调试、人工、机械、运输、维保服务、人员培训、技术支持、验收、税金等直至验收交付使用后至质保期满的全部费用（包含所有隐含的内容），中标后费用不再另行增加，请投标人综合考虑。  </w:t>
      </w:r>
      <w:r/>
    </w:p>
    <w:p>
      <w:pPr>
        <w:numPr>
          <w:ilvl w:val="0"/>
          <w:numId w:val="0"/>
        </w:numPr>
        <w:ind w:left="0" w:righ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 2、</w:t>
      </w:r>
      <w:r>
        <w:rPr>
          <w:rFonts w:hint="eastAsia" w:ascii="宋体" w:hAnsi="宋体" w:eastAsia="宋体" w:cs="宋体"/>
          <w:sz w:val="24"/>
          <w:szCs w:val="24"/>
          <w:highlight w:val="none"/>
        </w:rPr>
        <w:t xml:space="preserve">付款方式： </w:t>
      </w:r>
      <w:r/>
    </w:p>
    <w:p>
      <w:pPr>
        <w:ind w:left="0" w:right="0"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cyan"/>
          <w:lang w:val="en-US" w:eastAsia="zh-CN"/>
          <w14:textFill>
            <w14:solidFill>
              <w14:schemeClr w14:val="tx1"/>
            </w14:solidFill>
          </w14:textFill>
        </w:rPr>
      </w:pPr>
      <w:r>
        <w:rPr>
          <w:rFonts w:hint="eastAsia" w:ascii="宋体" w:hAnsi="宋体" w:eastAsia="宋体" w:cs="宋体"/>
          <w:bCs/>
          <w:color w:val="000000" w:themeColor="text1"/>
          <w:sz w:val="24"/>
          <w:szCs w:val="24"/>
          <w:highlight w:val="cyan"/>
          <w:lang w:val="en-US" w:eastAsia="zh-CN"/>
          <w14:textFill>
            <w14:solidFill>
              <w14:schemeClr w14:val="tx1"/>
            </w14:solidFill>
          </w14:textFill>
        </w:rPr>
        <w:t xml:space="preserve">合同签订生效后，货物到货并完成验收合格及调试工作后，项目实施单位应按照以下流程支付</w:t>
      </w:r>
      <w:r>
        <w:rPr>
          <w:rFonts w:hint="eastAsia" w:ascii="宋体" w:hAnsi="宋体" w:cs="宋体"/>
          <w:bCs/>
          <w:color w:val="000000" w:themeColor="text1"/>
          <w:sz w:val="24"/>
          <w:szCs w:val="24"/>
          <w:highlight w:val="cyan"/>
          <w:lang w:val="en-US" w:eastAsia="zh-CN"/>
          <w14:textFill>
            <w14:solidFill>
              <w14:schemeClr w14:val="tx1"/>
            </w14:solidFill>
          </w14:textFill>
        </w:rPr>
        <w:t xml:space="preserve">中标</w:t>
      </w:r>
      <w:r>
        <w:rPr>
          <w:rFonts w:hint="eastAsia" w:ascii="宋体" w:hAnsi="宋体" w:eastAsia="宋体" w:cs="宋体"/>
          <w:bCs/>
          <w:color w:val="000000" w:themeColor="text1"/>
          <w:sz w:val="24"/>
          <w:szCs w:val="24"/>
          <w:highlight w:val="cyan"/>
          <w:lang w:val="en-US" w:eastAsia="zh-CN"/>
          <w14:textFill>
            <w14:solidFill>
              <w14:schemeClr w14:val="tx1"/>
            </w14:solidFill>
          </w14:textFill>
        </w:rPr>
        <w:t xml:space="preserve">总额100%货款款项：</w:t>
      </w:r>
      <w:r/>
    </w:p>
    <w:p>
      <w:pPr>
        <w:ind w:left="0" w:right="0"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cyan"/>
          <w:lang w:val="en-US" w:eastAsia="zh-CN"/>
          <w14:textFill>
            <w14:solidFill>
              <w14:schemeClr w14:val="tx1"/>
            </w14:solidFill>
          </w14:textFill>
        </w:rPr>
      </w:pPr>
      <w:r>
        <w:rPr>
          <w:rFonts w:hint="eastAsia" w:ascii="宋体" w:hAnsi="宋体" w:cs="宋体"/>
          <w:bCs/>
          <w:color w:val="000000" w:themeColor="text1"/>
          <w:sz w:val="24"/>
          <w:szCs w:val="24"/>
          <w:highlight w:val="cyan"/>
          <w:lang w:val="en-US" w:eastAsia="zh-CN"/>
          <w14:textFill>
            <w14:solidFill>
              <w14:schemeClr w14:val="tx1"/>
            </w14:solidFill>
          </w14:textFill>
        </w:rPr>
        <w:t xml:space="preserve">2.1企业</w:t>
      </w:r>
      <w:r>
        <w:rPr>
          <w:rFonts w:hint="eastAsia" w:ascii="宋体" w:hAnsi="宋体" w:eastAsia="宋体" w:cs="宋体"/>
          <w:bCs/>
          <w:color w:val="000000" w:themeColor="text1"/>
          <w:sz w:val="24"/>
          <w:szCs w:val="24"/>
          <w:highlight w:val="cyan"/>
          <w:lang w:val="en-US" w:eastAsia="zh-CN"/>
          <w14:textFill>
            <w14:solidFill>
              <w14:schemeClr w14:val="tx1"/>
            </w14:solidFill>
          </w14:textFill>
        </w:rPr>
        <w:t xml:space="preserve">自筹资金部分由项目实施单位</w:t>
      </w:r>
      <w:r>
        <w:rPr>
          <w:rFonts w:hint="eastAsia" w:ascii="宋体" w:hAnsi="宋体" w:cs="宋体"/>
          <w:bCs/>
          <w:color w:val="000000" w:themeColor="text1"/>
          <w:sz w:val="24"/>
          <w:szCs w:val="24"/>
          <w:highlight w:val="cyan"/>
          <w:lang w:val="en-US" w:eastAsia="zh-CN"/>
          <w14:textFill>
            <w14:solidFill>
              <w14:schemeClr w14:val="tx1"/>
            </w14:solidFill>
          </w14:textFill>
        </w:rPr>
        <w:t xml:space="preserve">（企业）</w:t>
      </w:r>
      <w:r>
        <w:rPr>
          <w:rFonts w:hint="eastAsia" w:ascii="宋体" w:hAnsi="宋体" w:eastAsia="宋体" w:cs="宋体"/>
          <w:bCs/>
          <w:color w:val="000000" w:themeColor="text1"/>
          <w:sz w:val="24"/>
          <w:szCs w:val="24"/>
          <w:highlight w:val="cyan"/>
          <w:lang w:val="en-US" w:eastAsia="zh-CN"/>
          <w14:textFill>
            <w14:solidFill>
              <w14:schemeClr w14:val="tx1"/>
            </w14:solidFill>
          </w14:textFill>
        </w:rPr>
        <w:t xml:space="preserve">在验收调试完成后先行支付给中标企业；</w:t>
      </w:r>
      <w:r/>
    </w:p>
    <w:p>
      <w:pPr>
        <w:ind w:left="0" w:right="0"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cyan"/>
          <w:lang w:val="en-US" w:eastAsia="zh-CN"/>
          <w14:textFill>
            <w14:solidFill>
              <w14:schemeClr w14:val="tx1"/>
            </w14:solidFill>
          </w14:textFill>
        </w:rPr>
      </w:pPr>
      <w:r>
        <w:rPr>
          <w:rFonts w:hint="eastAsia" w:ascii="宋体" w:hAnsi="宋体" w:cs="宋体"/>
          <w:bCs/>
          <w:color w:val="000000" w:themeColor="text1"/>
          <w:sz w:val="24"/>
          <w:szCs w:val="24"/>
          <w:highlight w:val="cyan"/>
          <w:lang w:val="en-US" w:eastAsia="zh-CN"/>
          <w14:textFill>
            <w14:solidFill>
              <w14:schemeClr w14:val="tx1"/>
            </w14:solidFill>
          </w14:textFill>
        </w:rPr>
        <w:t xml:space="preserve">2.2</w:t>
      </w:r>
      <w:r>
        <w:rPr>
          <w:rFonts w:hint="eastAsia" w:ascii="宋体" w:hAnsi="宋体" w:eastAsia="宋体" w:cs="宋体"/>
          <w:bCs/>
          <w:color w:val="000000" w:themeColor="text1"/>
          <w:sz w:val="24"/>
          <w:szCs w:val="24"/>
          <w:highlight w:val="cyan"/>
          <w:lang w:val="en-US" w:eastAsia="zh-CN"/>
          <w14:textFill>
            <w14:solidFill>
              <w14:schemeClr w14:val="tx1"/>
            </w14:solidFill>
          </w14:textFill>
        </w:rPr>
        <w:t xml:space="preserve">财政专项资金待</w:t>
      </w:r>
      <w:r>
        <w:rPr>
          <w:rFonts w:hint="eastAsia" w:ascii="宋体" w:hAnsi="宋体" w:cs="宋体"/>
          <w:bCs/>
          <w:color w:val="000000" w:themeColor="text1"/>
          <w:sz w:val="24"/>
          <w:szCs w:val="24"/>
          <w:highlight w:val="cyan"/>
          <w:lang w:val="en-US" w:eastAsia="zh-CN"/>
          <w14:textFill>
            <w14:solidFill>
              <w14:schemeClr w14:val="tx1"/>
            </w14:solidFill>
          </w14:textFill>
        </w:rPr>
        <w:t xml:space="preserve">收到发票后10个工作日内支付</w:t>
      </w:r>
      <w:r>
        <w:rPr>
          <w:rFonts w:hint="eastAsia" w:ascii="宋体" w:hAnsi="宋体" w:eastAsia="宋体" w:cs="宋体"/>
          <w:bCs/>
          <w:color w:val="000000" w:themeColor="text1"/>
          <w:sz w:val="24"/>
          <w:szCs w:val="24"/>
          <w:highlight w:val="cyan"/>
          <w:lang w:val="en-US" w:eastAsia="zh-CN"/>
          <w14:textFill>
            <w14:solidFill>
              <w14:schemeClr w14:val="tx1"/>
            </w14:solidFill>
          </w14:textFill>
        </w:rPr>
        <w:t xml:space="preserve">。</w:t>
      </w:r>
      <w:r/>
    </w:p>
    <w:p>
      <w:pPr>
        <w:ind w:left="0" w:right="0"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cyan"/>
          <w:lang w:val="en-US" w:eastAsia="zh-CN"/>
          <w14:textFill>
            <w14:solidFill>
              <w14:schemeClr w14:val="tx1"/>
            </w14:solidFill>
          </w14:textFill>
        </w:rPr>
      </w:pPr>
      <w:r>
        <w:rPr>
          <w:rFonts w:hint="eastAsia" w:ascii="宋体" w:hAnsi="宋体" w:eastAsia="宋体" w:cs="宋体"/>
          <w:bCs/>
          <w:color w:val="000000" w:themeColor="text1"/>
          <w:sz w:val="24"/>
          <w:szCs w:val="24"/>
          <w:highlight w:val="cyan"/>
          <w:lang w:val="en-US" w:eastAsia="zh-CN"/>
          <w14:textFill>
            <w14:solidFill>
              <w14:schemeClr w14:val="tx1"/>
            </w14:solidFill>
          </w14:textFill>
        </w:rPr>
      </w:r>
      <w:r/>
    </w:p>
    <w:p>
      <w:pPr>
        <w:numPr>
          <w:ilvl w:val="0"/>
          <w:numId w:val="0"/>
        </w:numPr>
        <w:ind w:right="0"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付款前乙方应向甲方开具正规发票，供货交接单，质量检验证书，甲方自收到发票</w:t>
      </w:r>
      <w:r>
        <w:rPr>
          <w:rFonts w:hint="eastAsia" w:ascii="宋体" w:hAnsi="宋体" w:eastAsia="宋体" w:cs="宋体"/>
          <w:color w:val="ff0000"/>
          <w:sz w:val="24"/>
          <w:szCs w:val="24"/>
          <w:highlight w:val="none"/>
          <w:lang w:val="en-US" w:eastAsia="zh-CN"/>
        </w:rPr>
        <w:t xml:space="preserve">后10</w:t>
      </w:r>
      <w:r>
        <w:rPr>
          <w:rFonts w:hint="eastAsia" w:ascii="宋体" w:hAnsi="宋体" w:eastAsia="宋体" w:cs="宋体"/>
          <w:sz w:val="24"/>
          <w:szCs w:val="24"/>
          <w:highlight w:val="none"/>
          <w:lang w:val="en-US" w:eastAsia="zh-CN"/>
        </w:rPr>
        <w:t xml:space="preserve">个工作日内将资金支付至合同约定的乙方账户（发票开具日期计算）。</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687"/>
        <w:keepNext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第五章 评审方法和评审标准</w:t>
      </w:r>
      <w:bookmarkEnd w:id="185"/>
      <w:r/>
      <w:bookmarkEnd w:id="186"/>
      <w:r/>
      <w:bookmarkEnd w:id="187"/>
      <w:r/>
      <w:bookmarkEnd w:id="188"/>
      <w:r/>
      <w:bookmarkEnd w:id="189"/>
      <w:r/>
      <w:r/>
    </w:p>
    <w:p>
      <w:pPr>
        <w:pStyle w:val="930"/>
        <w:ind w:left="0" w:firstLine="0"/>
        <w:spacing w:before="0" w:after="0" w:line="520" w:lineRule="exact"/>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r>
      <w:r/>
    </w:p>
    <w:p>
      <w:pPr>
        <w:pStyle w:val="930"/>
        <w:ind w:firstLine="482"/>
        <w:spacing w:before="0" w:after="0" w:line="52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一、磋商小组：</w:t>
      </w:r>
      <w:r/>
    </w:p>
    <w:p>
      <w:pPr>
        <w:pStyle w:val="930"/>
        <w:spacing w:before="0" w:after="0" w:line="52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本采购项目磋商小组的评委由相关的专家、采购人代表等有关人员构成。</w:t>
      </w:r>
      <w:r/>
    </w:p>
    <w:p>
      <w:pPr>
        <w:pStyle w:val="930"/>
        <w:ind w:firstLine="482"/>
        <w:spacing w:before="0" w:after="0" w:line="52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二、评审方法：</w:t>
      </w:r>
      <w:r>
        <w:rPr>
          <w:rFonts w:hint="eastAsia" w:ascii="宋体" w:hAnsi="宋体" w:eastAsia="宋体" w:cs="宋体"/>
          <w:b/>
          <w:bCs/>
          <w:color w:val="auto"/>
          <w:highlight w:val="none"/>
        </w:rPr>
        <w:t xml:space="preserve">综合评分法</w:t>
      </w:r>
      <w:r/>
    </w:p>
    <w:p>
      <w:pPr>
        <w:pStyle w:val="930"/>
        <w:spacing w:before="0" w:after="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经磋商确定最终采购需求和确定提交最后报价的供应商后，由磋商小组采用综合评分法对提交最后报价的供应商的响应文件和最后报价进行综合评分。</w:t>
      </w:r>
      <w:r/>
    </w:p>
    <w:p>
      <w:pPr>
        <w:pStyle w:val="930"/>
        <w:spacing w:before="0" w:after="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综合评分法，是指响应文件满足磋商文件全部实质性要求且按评审因素的量化指标评审得分最高的供应商为成交候选供应商的评审方法。</w:t>
      </w:r>
      <w:r/>
    </w:p>
    <w:p>
      <w:pPr>
        <w:pStyle w:val="930"/>
        <w:ind w:firstLine="482"/>
        <w:spacing w:before="0" w:after="0" w:line="52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三、评审原则：</w:t>
      </w:r>
      <w:r/>
    </w:p>
    <w:p>
      <w:pPr>
        <w:pStyle w:val="930"/>
        <w:spacing w:before="0" w:after="0" w:line="520" w:lineRule="exact"/>
        <w:rPr>
          <w:rFonts w:hint="eastAsia" w:ascii="宋体" w:hAnsi="宋体" w:eastAsia="宋体" w:cs="宋体"/>
          <w:bCs/>
          <w:color w:val="auto"/>
          <w:highlight w:val="none"/>
        </w:rPr>
      </w:pPr>
      <w:r>
        <w:rPr>
          <w:rFonts w:hint="eastAsia" w:ascii="宋体" w:hAnsi="宋体" w:eastAsia="宋体" w:cs="宋体"/>
          <w:color w:val="auto"/>
          <w:highlight w:val="none"/>
        </w:rPr>
        <w:t xml:space="preserve">磋商小组</w:t>
      </w:r>
      <w:r>
        <w:rPr>
          <w:rFonts w:hint="eastAsia" w:ascii="宋体" w:hAnsi="宋体" w:eastAsia="宋体" w:cs="宋体"/>
          <w:bCs/>
          <w:color w:val="auto"/>
          <w:highlight w:val="none"/>
        </w:rPr>
        <w:t xml:space="preserve">必须公平、公正、客观，不带任何倾向性和启发性；不得向外界透露任何与评审有关的内容；任何单位和个人不得干扰、影响评审的正常进行；</w:t>
      </w:r>
      <w:r>
        <w:rPr>
          <w:rFonts w:hint="eastAsia" w:ascii="宋体" w:hAnsi="宋体" w:eastAsia="宋体" w:cs="宋体"/>
          <w:color w:val="auto"/>
          <w:highlight w:val="none"/>
        </w:rPr>
        <w:t xml:space="preserve">磋商小组</w:t>
      </w:r>
      <w:r>
        <w:rPr>
          <w:rFonts w:hint="eastAsia" w:ascii="宋体" w:hAnsi="宋体" w:eastAsia="宋体" w:cs="宋体"/>
          <w:bCs/>
          <w:color w:val="auto"/>
          <w:highlight w:val="none"/>
        </w:rPr>
        <w:t xml:space="preserve">及有关工作人员不得私下与供应商接触。</w:t>
      </w:r>
      <w:r/>
    </w:p>
    <w:p>
      <w:pPr>
        <w:pStyle w:val="930"/>
        <w:ind w:firstLine="482"/>
        <w:spacing w:before="0" w:after="0" w:line="52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四、评审标准： </w:t>
      </w:r>
      <w:r/>
    </w:p>
    <w:p>
      <w:pPr>
        <w:pStyle w:val="930"/>
        <w:spacing w:before="0" w:after="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（一）评审时，磋商小组以磋商文件为评审依据，磋商小组各成员独立对每个有效响应的文件进行评价、打分，然后汇总每个磋商供应商每项评审因素的得分。</w:t>
      </w:r>
      <w:r/>
    </w:p>
    <w:p>
      <w:pPr>
        <w:pStyle w:val="930"/>
        <w:spacing w:before="0" w:after="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（二）本项目评分总分为100分，按四舍五入取至小数点后两位。</w:t>
      </w:r>
      <w:r/>
    </w:p>
    <w:tbl>
      <w:tblPr>
        <w:tblStyle w:val="697"/>
        <w:tblW w:w="506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0"/>
        <w:gridCol w:w="1894"/>
        <w:gridCol w:w="7118"/>
      </w:tblGrid>
      <w:tr>
        <w:trPr>
          <w:jc w:val="center"/>
          <w:trHeight w:val="102"/>
        </w:trPr>
        <w:tc>
          <w:tcPr>
            <w:tcW w:w="1048" w:type="dxa"/>
            <w:vAlign w:val="center"/>
            <w:textDirection w:val="lrTb"/>
            <w:noWrap w:val="false"/>
          </w:tcPr>
          <w:p>
            <w:p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评分项目</w:t>
            </w:r>
            <w:r/>
          </w:p>
        </w:tc>
        <w:tc>
          <w:tcPr>
            <w:tcW w:w="1839" w:type="dxa"/>
            <w:vAlign w:val="center"/>
            <w:textDirection w:val="lrTb"/>
            <w:noWrap w:val="false"/>
          </w:tcPr>
          <w:p>
            <w:p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分值</w:t>
            </w:r>
            <w:r/>
          </w:p>
        </w:tc>
        <w:tc>
          <w:tcPr>
            <w:tcW w:w="6910" w:type="dxa"/>
            <w:vAlign w:val="center"/>
            <w:textDirection w:val="lrTb"/>
            <w:noWrap w:val="false"/>
          </w:tcPr>
          <w:p>
            <w:p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评分标准</w:t>
            </w:r>
            <w:r/>
          </w:p>
        </w:tc>
      </w:tr>
      <w:tr>
        <w:trPr>
          <w:jc w:val="center"/>
          <w:trHeight w:val="2013"/>
        </w:trPr>
        <w:tc>
          <w:tcPr>
            <w:tcW w:w="1048"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价格部分</w:t>
            </w:r>
            <w:r/>
          </w:p>
          <w:p>
            <w:pPr>
              <w:pStyle w:val="977"/>
              <w:ind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39"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价格</w:t>
            </w:r>
            <w:r/>
          </w:p>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（30分）</w:t>
            </w:r>
            <w:r/>
          </w:p>
        </w:tc>
        <w:tc>
          <w:tcPr>
            <w:tcW w:w="6910" w:type="dxa"/>
            <w:vAlign w:val="center"/>
            <w:textDirection w:val="lrTb"/>
            <w:noWrap w:val="false"/>
          </w:tcPr>
          <w:p>
            <w:pPr>
              <w:spacing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满足磋商文件要求且最后报价最低的供应商的价格为磋商基准价，其价格分为满分。其他供应商的价格分统一按照下列公式计算：</w:t>
            </w:r>
            <w:r/>
          </w:p>
          <w:p>
            <w:pPr>
              <w:spacing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磋商报价得分=（磋商基准价/最后磋商报价）×30</w:t>
            </w:r>
            <w:r/>
          </w:p>
        </w:tc>
      </w:tr>
      <w:tr>
        <w:trPr>
          <w:jc w:val="center"/>
          <w:trHeight w:val="298"/>
        </w:trPr>
        <w:tc>
          <w:tcPr>
            <w:tcW w:w="1048" w:type="dxa"/>
            <w:vAlign w:val="center"/>
            <w:vMerge w:val="restart"/>
            <w:textDirection w:val="lrTb"/>
            <w:noWrap w:val="false"/>
          </w:tcPr>
          <w:p>
            <w:pPr>
              <w:jc w:val="center"/>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jc w:val="center"/>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jc w:val="center"/>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jc w:val="center"/>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jc w:val="center"/>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jc w:val="center"/>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jc w:val="center"/>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jc w:val="center"/>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jc w:val="center"/>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jc w:val="center"/>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jc w:val="center"/>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jc w:val="center"/>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技术</w:t>
            </w:r>
            <w:r/>
          </w:p>
          <w:p>
            <w:pPr>
              <w:jc w:val="center"/>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部分</w:t>
            </w:r>
            <w:r/>
          </w:p>
          <w:p>
            <w:pPr>
              <w:jc w:val="both"/>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1839"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产品性能及配置响应</w:t>
            </w:r>
            <w:r/>
          </w:p>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32</w:t>
            </w:r>
            <w:r>
              <w:rPr>
                <w:rFonts w:hint="eastAsia" w:ascii="宋体" w:hAnsi="宋体" w:eastAsia="宋体" w:cs="宋体"/>
                <w:sz w:val="24"/>
                <w:szCs w:val="24"/>
                <w:highlight w:val="none"/>
                <w:lang w:val="en-US" w:eastAsia="zh-CN"/>
              </w:rPr>
              <w:t xml:space="preserve">分</w:t>
            </w:r>
            <w:r>
              <w:rPr>
                <w:rFonts w:hint="eastAsia" w:ascii="宋体" w:hAnsi="宋体" w:eastAsia="宋体" w:cs="宋体"/>
                <w:sz w:val="24"/>
                <w:szCs w:val="24"/>
                <w:highlight w:val="none"/>
                <w:lang w:eastAsia="zh-CN"/>
              </w:rPr>
              <w:t xml:space="preserve">）</w:t>
            </w:r>
            <w:r/>
          </w:p>
        </w:tc>
        <w:tc>
          <w:tcPr>
            <w:tcW w:w="6910" w:type="dxa"/>
            <w:vAlign w:val="center"/>
            <w:textDirection w:val="lrTb"/>
            <w:noWrap w:val="false"/>
          </w:tcPr>
          <w:p>
            <w:pPr>
              <w:spacing w:line="360" w:lineRule="auto"/>
              <w:rPr>
                <w:rFonts w:hint="default" w:ascii="宋体" w:hAnsi="宋体" w:eastAsia="宋体" w:cs="宋体"/>
                <w:b/>
                <w:bCs/>
                <w:sz w:val="24"/>
                <w:szCs w:val="24"/>
                <w:highlight w:val="cyan"/>
                <w:lang w:val="en-US" w:eastAsia="zh-CN"/>
              </w:rPr>
            </w:pPr>
            <w:r>
              <w:rPr>
                <w:rFonts w:hint="eastAsia" w:ascii="宋体" w:hAnsi="宋体" w:eastAsia="宋体" w:cs="宋体"/>
                <w:sz w:val="24"/>
                <w:szCs w:val="24"/>
                <w:highlight w:val="cyan"/>
              </w:rPr>
              <w:t xml:space="preserve">设备技术参数全部满足</w:t>
            </w:r>
            <w:r>
              <w:rPr>
                <w:rFonts w:hint="eastAsia" w:ascii="宋体" w:hAnsi="宋体" w:cs="宋体"/>
                <w:sz w:val="24"/>
                <w:szCs w:val="24"/>
                <w:highlight w:val="cyan"/>
                <w:lang w:val="en-US" w:eastAsia="zh-CN"/>
              </w:rPr>
              <w:t xml:space="preserve">磋商</w:t>
            </w:r>
            <w:r>
              <w:rPr>
                <w:rFonts w:hint="eastAsia" w:ascii="宋体" w:hAnsi="宋体" w:eastAsia="宋体" w:cs="宋体"/>
                <w:sz w:val="24"/>
                <w:szCs w:val="24"/>
                <w:highlight w:val="cyan"/>
              </w:rPr>
              <w:t xml:space="preserve">要求的得满分</w:t>
            </w:r>
            <w:r>
              <w:rPr>
                <w:rFonts w:hint="eastAsia" w:ascii="宋体" w:hAnsi="宋体" w:cs="宋体"/>
                <w:sz w:val="24"/>
                <w:szCs w:val="24"/>
                <w:highlight w:val="cyan"/>
                <w:lang w:val="en-US" w:eastAsia="zh-CN"/>
              </w:rPr>
              <w:t xml:space="preserve">32</w:t>
            </w:r>
            <w:r>
              <w:rPr>
                <w:rFonts w:hint="eastAsia" w:ascii="宋体" w:hAnsi="宋体" w:eastAsia="宋体" w:cs="宋体"/>
                <w:sz w:val="24"/>
                <w:szCs w:val="24"/>
                <w:highlight w:val="cyan"/>
              </w:rPr>
              <w:t xml:space="preserve">分</w:t>
            </w:r>
            <w:r>
              <w:rPr>
                <w:rFonts w:hint="eastAsia" w:ascii="宋体" w:hAnsi="宋体" w:cs="宋体"/>
                <w:b w:val="0"/>
                <w:bCs w:val="0"/>
                <w:color w:val="auto"/>
                <w:sz w:val="24"/>
                <w:szCs w:val="24"/>
                <w:highlight w:val="cyan"/>
                <w:lang w:eastAsia="zh-CN"/>
              </w:rPr>
              <w:t xml:space="preserve">；</w:t>
            </w:r>
            <w:r>
              <w:rPr>
                <w:rFonts w:hint="eastAsia" w:ascii="宋体" w:hAnsi="宋体" w:eastAsia="宋体" w:cs="宋体"/>
                <w:b w:val="0"/>
                <w:bCs w:val="0"/>
                <w:color w:val="auto"/>
                <w:sz w:val="24"/>
                <w:szCs w:val="24"/>
                <w:highlight w:val="cyan"/>
              </w:rPr>
              <w:t xml:space="preserve">标“</w:t>
            </w:r>
            <w:r>
              <w:rPr>
                <w:rFonts w:hint="eastAsia" w:ascii="宋体" w:hAnsi="宋体" w:eastAsia="宋体" w:cs="宋体"/>
                <w:sz w:val="24"/>
                <w:szCs w:val="24"/>
                <w:highlight w:val="cyan"/>
                <w:lang w:val="en-US" w:eastAsia="zh-CN"/>
              </w:rPr>
              <w:t xml:space="preserve">▲</w:t>
            </w:r>
            <w:r>
              <w:rPr>
                <w:rFonts w:hint="eastAsia" w:ascii="宋体" w:hAnsi="宋体" w:eastAsia="宋体" w:cs="宋体"/>
                <w:b w:val="0"/>
                <w:bCs w:val="0"/>
                <w:color w:val="auto"/>
                <w:sz w:val="24"/>
                <w:szCs w:val="24"/>
                <w:highlight w:val="cyan"/>
              </w:rPr>
              <w:t xml:space="preserve">”代表重要指标，每有一处负偏离扣</w:t>
            </w:r>
            <w:r>
              <w:rPr>
                <w:rFonts w:hint="eastAsia" w:ascii="宋体" w:hAnsi="宋体" w:cs="宋体"/>
                <w:b w:val="0"/>
                <w:bCs w:val="0"/>
                <w:color w:val="auto"/>
                <w:sz w:val="24"/>
                <w:szCs w:val="24"/>
                <w:highlight w:val="cyan"/>
                <w:lang w:val="en-US" w:eastAsia="zh-CN"/>
              </w:rPr>
              <w:t xml:space="preserve">2</w:t>
            </w:r>
            <w:r>
              <w:rPr>
                <w:rFonts w:hint="eastAsia" w:ascii="宋体" w:hAnsi="宋体" w:eastAsia="宋体" w:cs="宋体"/>
                <w:b w:val="0"/>
                <w:bCs w:val="0"/>
                <w:color w:val="auto"/>
                <w:sz w:val="24"/>
                <w:szCs w:val="24"/>
                <w:highlight w:val="cyan"/>
              </w:rPr>
              <w:t xml:space="preserve">分；一般指标项，每有一处负偏离扣</w:t>
            </w:r>
            <w:r>
              <w:rPr>
                <w:rFonts w:hint="eastAsia" w:ascii="宋体" w:hAnsi="宋体" w:cs="宋体"/>
                <w:b w:val="0"/>
                <w:bCs w:val="0"/>
                <w:color w:val="auto"/>
                <w:sz w:val="24"/>
                <w:szCs w:val="24"/>
                <w:highlight w:val="cyan"/>
                <w:lang w:val="en-US" w:eastAsia="zh-CN"/>
              </w:rPr>
              <w:t xml:space="preserve">1</w:t>
            </w:r>
            <w:r>
              <w:rPr>
                <w:rFonts w:hint="eastAsia" w:ascii="宋体" w:hAnsi="宋体" w:eastAsia="宋体" w:cs="宋体"/>
                <w:b w:val="0"/>
                <w:bCs w:val="0"/>
                <w:color w:val="auto"/>
                <w:sz w:val="24"/>
                <w:szCs w:val="24"/>
                <w:highlight w:val="cyan"/>
              </w:rPr>
              <w:t xml:space="preserve">分。扣完为止。</w:t>
            </w:r>
            <w:r>
              <w:rPr>
                <w:rFonts w:hint="eastAsia" w:ascii="宋体" w:hAnsi="宋体" w:eastAsia="宋体" w:cs="宋体"/>
                <w:b w:val="0"/>
                <w:bCs w:val="0"/>
                <w:color w:val="auto"/>
                <w:sz w:val="24"/>
                <w:szCs w:val="24"/>
                <w:highlight w:val="yellow"/>
              </w:rPr>
              <w:t xml:space="preserve">投标时需对标“</w:t>
            </w:r>
            <w:r>
              <w:rPr>
                <w:rFonts w:hint="eastAsia" w:ascii="宋体" w:hAnsi="宋体" w:eastAsia="宋体" w:cs="宋体"/>
                <w:sz w:val="24"/>
                <w:szCs w:val="24"/>
                <w:highlight w:val="yellow"/>
                <w:lang w:val="en-US" w:eastAsia="zh-CN"/>
              </w:rPr>
              <w:t xml:space="preserve">▲</w:t>
            </w:r>
            <w:r>
              <w:rPr>
                <w:rFonts w:hint="eastAsia" w:ascii="宋体" w:hAnsi="宋体" w:eastAsia="宋体" w:cs="宋体"/>
                <w:b w:val="0"/>
                <w:bCs w:val="0"/>
                <w:color w:val="auto"/>
                <w:sz w:val="24"/>
                <w:szCs w:val="24"/>
                <w:highlight w:val="yellow"/>
              </w:rPr>
              <w:t xml:space="preserve">”号的</w:t>
            </w:r>
            <w:r>
              <w:rPr>
                <w:rFonts w:hint="eastAsia" w:ascii="宋体" w:hAnsi="宋体" w:eastAsia="宋体" w:cs="宋体"/>
                <w:b/>
                <w:bCs/>
                <w:color w:val="auto"/>
                <w:sz w:val="24"/>
                <w:szCs w:val="24"/>
                <w:highlight w:val="yellow"/>
              </w:rPr>
              <w:t xml:space="preserve">相关参数</w:t>
            </w:r>
            <w:r>
              <w:rPr>
                <w:rFonts w:hint="eastAsia" w:ascii="宋体" w:hAnsi="宋体" w:cs="宋体"/>
                <w:b/>
                <w:bCs/>
                <w:color w:val="auto"/>
                <w:sz w:val="24"/>
                <w:szCs w:val="24"/>
                <w:highlight w:val="yellow"/>
                <w:lang w:eastAsia="zh-CN"/>
              </w:rPr>
              <w:t xml:space="preserve">，</w:t>
            </w:r>
            <w:r>
              <w:rPr>
                <w:rFonts w:hint="eastAsia" w:ascii="宋体" w:hAnsi="宋体" w:eastAsia="宋体" w:cs="宋体"/>
                <w:b/>
                <w:bCs/>
                <w:color w:val="auto"/>
                <w:sz w:val="24"/>
                <w:szCs w:val="24"/>
                <w:highlight w:val="yellow"/>
              </w:rPr>
              <w:t xml:space="preserve">提供</w:t>
            </w:r>
            <w:r>
              <w:rPr>
                <w:rFonts w:hint="eastAsia" w:ascii="宋体" w:hAnsi="宋体" w:cs="宋体"/>
                <w:b/>
                <w:bCs/>
                <w:color w:val="auto"/>
                <w:sz w:val="24"/>
                <w:szCs w:val="24"/>
                <w:highlight w:val="yellow"/>
                <w:lang w:val="en-US" w:eastAsia="zh-CN"/>
              </w:rPr>
              <w:t xml:space="preserve">以</w:t>
            </w:r>
            <w:r>
              <w:rPr>
                <w:rFonts w:hint="eastAsia" w:ascii="宋体" w:hAnsi="宋体" w:cs="宋体"/>
                <w:b w:val="0"/>
                <w:bCs w:val="0"/>
                <w:color w:val="auto"/>
                <w:sz w:val="24"/>
                <w:szCs w:val="24"/>
                <w:highlight w:val="yellow"/>
                <w:lang w:val="en-US" w:eastAsia="zh-CN"/>
              </w:rPr>
              <w:t xml:space="preserve">官方平台（全国农业机械试验鉴定管理服务信息化平台等）认证</w:t>
            </w:r>
            <w:r>
              <w:rPr>
                <w:rFonts w:hint="eastAsia" w:ascii="宋体" w:hAnsi="宋体" w:eastAsia="宋体" w:cs="宋体"/>
                <w:b/>
                <w:bCs/>
                <w:color w:val="auto"/>
                <w:sz w:val="24"/>
                <w:szCs w:val="24"/>
                <w:highlight w:val="yellow"/>
              </w:rPr>
              <w:t xml:space="preserve">佐证材料</w:t>
            </w:r>
            <w:r>
              <w:rPr>
                <w:rFonts w:hint="eastAsia" w:ascii="宋体" w:hAnsi="宋体" w:cs="宋体"/>
                <w:b w:val="0"/>
                <w:bCs w:val="0"/>
                <w:color w:val="auto"/>
                <w:sz w:val="24"/>
                <w:szCs w:val="24"/>
                <w:highlight w:val="yellow"/>
                <w:lang w:val="en-US" w:eastAsia="zh-CN"/>
              </w:rPr>
              <w:t xml:space="preserve">为主，提供官网平台所投产品的链接。其他</w:t>
            </w:r>
            <w:r>
              <w:rPr>
                <w:rFonts w:hint="eastAsia" w:ascii="宋体" w:hAnsi="宋体" w:eastAsia="宋体" w:cs="宋体"/>
                <w:b w:val="0"/>
                <w:bCs w:val="0"/>
                <w:color w:val="auto"/>
                <w:sz w:val="24"/>
                <w:szCs w:val="24"/>
                <w:highlight w:val="yellow"/>
              </w:rPr>
              <w:t xml:space="preserve">包括不限于</w:t>
            </w:r>
            <w:r>
              <w:rPr>
                <w:rFonts w:hint="eastAsia" w:ascii="宋体" w:hAnsi="宋体" w:cs="宋体"/>
                <w:b w:val="0"/>
                <w:bCs w:val="0"/>
                <w:color w:val="auto"/>
                <w:sz w:val="24"/>
                <w:szCs w:val="24"/>
                <w:highlight w:val="yellow"/>
                <w:lang w:val="en-US" w:eastAsia="zh-CN"/>
              </w:rPr>
              <w:t xml:space="preserve">厂家说明书、厂家提供的证明材料</w:t>
            </w:r>
            <w:r>
              <w:rPr>
                <w:rFonts w:hint="eastAsia" w:ascii="宋体" w:hAnsi="宋体" w:eastAsia="宋体" w:cs="宋体"/>
                <w:b w:val="0"/>
                <w:bCs w:val="0"/>
                <w:color w:val="auto"/>
                <w:sz w:val="24"/>
                <w:szCs w:val="24"/>
                <w:highlight w:val="yellow"/>
              </w:rPr>
              <w:t xml:space="preserve">、产品彩页截图等</w:t>
            </w:r>
            <w:r>
              <w:rPr>
                <w:rFonts w:hint="eastAsia" w:ascii="宋体" w:hAnsi="宋体" w:cs="宋体"/>
                <w:b w:val="0"/>
                <w:bCs w:val="0"/>
                <w:color w:val="auto"/>
                <w:sz w:val="24"/>
                <w:szCs w:val="24"/>
                <w:highlight w:val="yellow"/>
                <w:lang w:val="en-US" w:eastAsia="zh-CN"/>
              </w:rPr>
              <w:t xml:space="preserve">为辅</w:t>
            </w:r>
            <w:r>
              <w:rPr>
                <w:rFonts w:hint="eastAsia" w:ascii="宋体" w:hAnsi="宋体" w:eastAsia="宋体" w:cs="宋体"/>
                <w:b w:val="0"/>
                <w:bCs w:val="0"/>
                <w:color w:val="auto"/>
                <w:sz w:val="24"/>
                <w:szCs w:val="24"/>
                <w:highlight w:val="yellow"/>
              </w:rPr>
              <w:t xml:space="preserve">。</w:t>
            </w:r>
            <w:r>
              <w:rPr>
                <w:rFonts w:hint="eastAsia" w:ascii="宋体" w:hAnsi="宋体" w:cs="宋体"/>
                <w:b/>
                <w:bCs/>
                <w:color w:val="auto"/>
                <w:sz w:val="24"/>
                <w:szCs w:val="24"/>
                <w:highlight w:val="yellow"/>
                <w:lang w:val="en-US" w:eastAsia="zh-CN"/>
              </w:rPr>
              <w:t xml:space="preserve">未提供相关</w:t>
            </w:r>
            <w:r>
              <w:rPr>
                <w:rFonts w:hint="eastAsia" w:ascii="宋体" w:hAnsi="宋体" w:eastAsia="宋体" w:cs="宋体"/>
                <w:b/>
                <w:bCs/>
                <w:color w:val="auto"/>
                <w:sz w:val="24"/>
                <w:szCs w:val="24"/>
                <w:highlight w:val="yellow"/>
              </w:rPr>
              <w:t xml:space="preserve">佐证材料</w:t>
            </w:r>
            <w:r>
              <w:rPr>
                <w:rFonts w:hint="eastAsia" w:ascii="宋体" w:hAnsi="宋体" w:cs="宋体"/>
                <w:b/>
                <w:bCs/>
                <w:color w:val="auto"/>
                <w:sz w:val="24"/>
                <w:szCs w:val="24"/>
                <w:highlight w:val="yellow"/>
                <w:lang w:val="en-US" w:eastAsia="zh-CN"/>
              </w:rPr>
              <w:t xml:space="preserve">的做负偏离处理。（涉及所投产品的网）</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注：提供所投产品的技术规格参数响应表和技术偏离表</w:t>
            </w:r>
            <w:r>
              <w:rPr>
                <w:rFonts w:hint="eastAsia" w:ascii="宋体" w:hAnsi="宋体" w:cs="宋体"/>
                <w:b/>
                <w:bCs/>
                <w:color w:val="000000"/>
                <w:sz w:val="24"/>
                <w:szCs w:val="24"/>
                <w:highlight w:val="none"/>
                <w:lang w:val="en-US" w:eastAsia="zh-CN"/>
              </w:rPr>
              <w:t xml:space="preserve">，供应商</w:t>
            </w:r>
            <w:r>
              <w:rPr>
                <w:rFonts w:hint="eastAsia" w:ascii="宋体" w:hAnsi="宋体" w:eastAsia="宋体" w:cs="宋体"/>
                <w:b/>
                <w:bCs/>
                <w:color w:val="000000"/>
                <w:sz w:val="24"/>
                <w:szCs w:val="24"/>
                <w:highlight w:val="none"/>
                <w:lang w:val="en-US" w:eastAsia="zh-CN"/>
              </w:rPr>
              <w:t xml:space="preserve">须将证明材料扫描件列出目录，并按序集中放至投标文件中，不齐或模糊不清无法辨认的不予计分。</w:t>
            </w:r>
            <w:r/>
          </w:p>
        </w:tc>
      </w:tr>
      <w:tr>
        <w:trPr>
          <w:jc w:val="center"/>
          <w:trHeight w:val="1406"/>
        </w:trPr>
        <w:tc>
          <w:tcPr>
            <w:tcW w:w="1048"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1839" w:type="dxa"/>
            <w:vAlign w:val="center"/>
            <w:textDirection w:val="lrTb"/>
            <w:noWrap w:val="false"/>
          </w:tcPr>
          <w:p>
            <w:pPr>
              <w:jc w:val="center"/>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供货实施方案</w:t>
            </w:r>
            <w:r/>
          </w:p>
          <w:p>
            <w:pPr>
              <w:jc w:val="center"/>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p>
        </w:tc>
        <w:tc>
          <w:tcPr>
            <w:tcW w:w="6910" w:type="dxa"/>
            <w:vAlign w:val="center"/>
            <w:textDirection w:val="lrTb"/>
            <w:noWrap w:val="false"/>
          </w:tcPr>
          <w:p>
            <w:pPr>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供应商针对本项目采购需求内容提供供货实施方案</w:t>
            </w:r>
            <w:r>
              <w:rPr>
                <w:rFonts w:hint="eastAsia" w:ascii="宋体" w:hAnsi="宋体" w:eastAsia="宋体" w:cs="宋体"/>
                <w:color w:val="000000"/>
                <w:sz w:val="24"/>
                <w:szCs w:val="24"/>
                <w:highlight w:val="none"/>
                <w:lang w:eastAsia="zh-CN"/>
              </w:rPr>
              <w:t xml:space="preserve">：</w:t>
            </w:r>
            <w:r/>
          </w:p>
          <w:p>
            <w:pPr>
              <w:jc w:val="left"/>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优：实施方案科学、合理、规范且可行的</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p>
          <w:p>
            <w:pPr>
              <w:jc w:val="left"/>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良：实施方案较科学、较合理、较规范且基本可行的得</w:t>
            </w:r>
            <w:r>
              <w:rPr>
                <w:rFonts w:hint="eastAsia" w:ascii="宋体" w:hAnsi="宋体" w:cs="宋体"/>
                <w:color w:val="000000"/>
                <w:sz w:val="24"/>
                <w:szCs w:val="24"/>
                <w:highlight w:val="none"/>
                <w:lang w:val="en-US" w:eastAsia="zh-CN"/>
              </w:rPr>
              <w:t xml:space="preserve">5分；</w:t>
            </w:r>
            <w:r/>
          </w:p>
          <w:p>
            <w:pPr>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一般：实施方案简略、基本可行的得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未见阐述本项</w:t>
            </w:r>
            <w:r>
              <w:rPr>
                <w:rFonts w:hint="eastAsia" w:ascii="宋体" w:hAnsi="宋体" w:eastAsia="宋体" w:cs="宋体"/>
                <w:color w:val="000000"/>
                <w:sz w:val="24"/>
                <w:szCs w:val="24"/>
                <w:highlight w:val="none"/>
              </w:rPr>
              <w:t xml:space="preserve">不得分。</w:t>
            </w:r>
            <w:r/>
          </w:p>
        </w:tc>
      </w:tr>
      <w:tr>
        <w:trPr>
          <w:jc w:val="center"/>
          <w:trHeight w:val="919"/>
        </w:trPr>
        <w:tc>
          <w:tcPr>
            <w:tcW w:w="1048"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1839" w:type="dxa"/>
            <w:vAlign w:val="center"/>
            <w:textDirection w:val="lrTb"/>
            <w:noWrap w:val="false"/>
          </w:tcPr>
          <w:p>
            <w:pPr>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进度、质量保障措施（</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p>
        </w:tc>
        <w:tc>
          <w:tcPr>
            <w:tcW w:w="6910" w:type="dxa"/>
            <w:vAlign w:val="center"/>
            <w:textDirection w:val="lrTb"/>
            <w:noWrap w:val="false"/>
          </w:tcPr>
          <w:p>
            <w:pPr>
              <w:jc w:val="left"/>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针对本项目提供进度、质量保障措施，包含但不限于供货进度计划、运输保障、备品备件的配备方案及质量保障措施进行阐述。</w:t>
            </w:r>
            <w:r/>
          </w:p>
          <w:p>
            <w:pPr>
              <w:jc w:val="left"/>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优：进度、质量保障措施科学合理，内容全面，可操作性强的得</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p>
          <w:p>
            <w:pPr>
              <w:jc w:val="left"/>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良：进度、质量保障措施科学合理，内容较为全面，具有较强可操作性的得</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p>
          <w:p>
            <w:pPr>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一般：进度、质量保障措施一般，可行性差的得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未见阐述本项</w:t>
            </w:r>
            <w:r>
              <w:rPr>
                <w:rFonts w:hint="eastAsia" w:ascii="宋体" w:hAnsi="宋体" w:eastAsia="宋体" w:cs="宋体"/>
                <w:color w:val="000000"/>
                <w:sz w:val="24"/>
                <w:szCs w:val="24"/>
                <w:highlight w:val="none"/>
              </w:rPr>
              <w:t xml:space="preserve">不得分。</w:t>
            </w:r>
            <w:r/>
          </w:p>
        </w:tc>
      </w:tr>
      <w:tr>
        <w:trPr>
          <w:jc w:val="center"/>
          <w:trHeight w:val="819"/>
        </w:trPr>
        <w:tc>
          <w:tcPr>
            <w:tcW w:w="1048"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1839" w:type="dxa"/>
            <w:vAlign w:val="center"/>
            <w:textDirection w:val="lrTb"/>
            <w:noWrap w:val="false"/>
          </w:tcPr>
          <w:p>
            <w:pPr>
              <w:pStyle w:val="913"/>
              <w:ind w:firstLine="0"/>
              <w:jc w:val="center"/>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应急措施</w:t>
            </w:r>
            <w:r/>
          </w:p>
          <w:p>
            <w:pPr>
              <w:jc w:val="center"/>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6分</w:t>
            </w:r>
            <w:r>
              <w:rPr>
                <w:rFonts w:hint="eastAsia" w:ascii="宋体" w:hAnsi="宋体" w:cs="宋体"/>
                <w:color w:val="000000"/>
                <w:sz w:val="24"/>
                <w:szCs w:val="24"/>
                <w:highlight w:val="none"/>
                <w:lang w:eastAsia="zh-CN"/>
              </w:rPr>
              <w:t xml:space="preserve">）</w:t>
            </w:r>
            <w:r/>
          </w:p>
        </w:tc>
        <w:tc>
          <w:tcPr>
            <w:tcW w:w="6910" w:type="dxa"/>
            <w:vAlign w:val="center"/>
            <w:textDirection w:val="lrTb"/>
            <w:noWrap w:val="false"/>
          </w:tcPr>
          <w:p>
            <w:pPr>
              <w:jc w:val="left"/>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针对本项目提供</w:t>
            </w:r>
            <w:r>
              <w:rPr>
                <w:rFonts w:hint="eastAsia" w:ascii="宋体" w:hAnsi="宋体" w:eastAsia="宋体" w:cs="宋体"/>
                <w:color w:val="000000"/>
                <w:sz w:val="24"/>
                <w:szCs w:val="24"/>
                <w:highlight w:val="none"/>
                <w:lang w:val="en-US" w:eastAsia="zh-CN"/>
              </w:rPr>
              <w:t xml:space="preserve">拟定的应急预案，详细、科学合理、有效性等方面综合评分</w:t>
            </w:r>
            <w:r>
              <w:rPr>
                <w:rFonts w:hint="eastAsia" w:ascii="宋体" w:hAnsi="宋体" w:eastAsia="宋体" w:cs="宋体"/>
                <w:color w:val="000000"/>
                <w:sz w:val="24"/>
                <w:szCs w:val="24"/>
                <w:highlight w:val="none"/>
              </w:rPr>
              <w:t xml:space="preserve">。</w:t>
            </w:r>
            <w:r/>
          </w:p>
          <w:p>
            <w:pPr>
              <w:jc w:val="left"/>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优：方案阐述全面可行、针对性强、可操作性强的得</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p>
          <w:p>
            <w:pPr>
              <w:jc w:val="left"/>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良:方案阐述较全面、针对性较强、可操作性较强的得</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p>
          <w:p>
            <w:pPr>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一般：方案阐述一般，针对性一般、可操作性差的得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未见阐述本项</w:t>
            </w:r>
            <w:r>
              <w:rPr>
                <w:rFonts w:hint="eastAsia" w:ascii="宋体" w:hAnsi="宋体" w:eastAsia="宋体" w:cs="宋体"/>
                <w:color w:val="000000"/>
                <w:sz w:val="24"/>
                <w:szCs w:val="24"/>
                <w:highlight w:val="none"/>
              </w:rPr>
              <w:t xml:space="preserve">不得分。</w:t>
            </w:r>
            <w:r/>
          </w:p>
        </w:tc>
      </w:tr>
      <w:tr>
        <w:trPr>
          <w:jc w:val="center"/>
          <w:trHeight w:val="819"/>
        </w:trPr>
        <w:tc>
          <w:tcPr>
            <w:tcW w:w="1048"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1839" w:type="dxa"/>
            <w:vAlign w:val="center"/>
            <w:textDirection w:val="lrTb"/>
            <w:noWrap w:val="false"/>
          </w:tcPr>
          <w:p>
            <w:pPr>
              <w:jc w:val="center"/>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售后服务</w:t>
            </w:r>
            <w:r/>
          </w:p>
          <w:p>
            <w:pPr>
              <w:jc w:val="center"/>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p>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910" w:type="dxa"/>
            <w:vAlign w:val="center"/>
            <w:textDirection w:val="lrTb"/>
            <w:noWrap w:val="false"/>
          </w:tcPr>
          <w:p>
            <w:pPr>
              <w:jc w:val="left"/>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供应商提供针对项目实际需求的售后服务方案（包括产品质量保证、售后服务承诺、响应时间、质量排除能力等；技术指导、专业培训、售后服电话等）。</w:t>
            </w:r>
            <w:r/>
          </w:p>
          <w:p>
            <w:pPr>
              <w:jc w:val="left"/>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优：</w:t>
            </w:r>
            <w:r>
              <w:rPr>
                <w:rFonts w:hint="eastAsia" w:ascii="宋体" w:hAnsi="宋体" w:cs="宋体"/>
                <w:color w:val="000000"/>
                <w:sz w:val="24"/>
                <w:szCs w:val="24"/>
                <w:highlight w:val="none"/>
                <w:lang w:val="en-US" w:eastAsia="zh-CN"/>
              </w:rPr>
              <w:t xml:space="preserve">可提供</w:t>
            </w:r>
            <w:r>
              <w:rPr>
                <w:rFonts w:hint="eastAsia" w:ascii="宋体" w:hAnsi="宋体" w:cs="宋体"/>
                <w:color w:val="000000"/>
                <w:sz w:val="24"/>
                <w:szCs w:val="24"/>
                <w:highlight w:val="cyan"/>
                <w:lang w:val="en-US" w:eastAsia="zh-CN"/>
              </w:rPr>
              <w:t xml:space="preserve">原厂配件,并提供厂家专项授权</w:t>
            </w:r>
            <w:r>
              <w:rPr>
                <w:rFonts w:hint="eastAsia" w:ascii="宋体" w:hAnsi="宋体" w:cs="宋体"/>
                <w:color w:val="000000"/>
                <w:sz w:val="24"/>
                <w:szCs w:val="24"/>
                <w:highlight w:val="none"/>
                <w:lang w:val="en-US" w:eastAsia="zh-CN"/>
              </w:rPr>
              <w:t xml:space="preserve">书,</w:t>
            </w:r>
            <w:r>
              <w:rPr>
                <w:rFonts w:hint="eastAsia" w:ascii="宋体" w:hAnsi="宋体" w:eastAsia="宋体" w:cs="宋体"/>
                <w:color w:val="000000"/>
                <w:sz w:val="24"/>
                <w:szCs w:val="24"/>
                <w:highlight w:val="none"/>
              </w:rPr>
              <w:t xml:space="preserve">售后服务方案合理，内容全面，对项目实际需求有针对性和可行性，能够充分考虑到采购人的得</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p>
          <w:p>
            <w:pPr>
              <w:jc w:val="left"/>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良：售后服务方案基本合理，内容基本全面，对项目实际需求有针对性和可行性的得</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p>
          <w:p>
            <w:pPr>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一般：售后服务方案一般，内容不全面的得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未见阐述本项</w:t>
            </w:r>
            <w:r>
              <w:rPr>
                <w:rFonts w:hint="eastAsia" w:ascii="宋体" w:hAnsi="宋体" w:eastAsia="宋体" w:cs="宋体"/>
                <w:color w:val="000000"/>
                <w:sz w:val="24"/>
                <w:szCs w:val="24"/>
                <w:highlight w:val="none"/>
              </w:rPr>
              <w:t xml:space="preserve">不得分。</w:t>
            </w:r>
            <w:r/>
          </w:p>
        </w:tc>
      </w:tr>
      <w:tr>
        <w:trPr>
          <w:jc w:val="center"/>
          <w:trHeight w:val="1602"/>
        </w:trPr>
        <w:tc>
          <w:tcPr>
            <w:tcW w:w="1048" w:type="dxa"/>
            <w:vAlign w:val="center"/>
            <w:vMerge w:val="restart"/>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商务</w:t>
            </w:r>
            <w:r/>
          </w:p>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部分</w:t>
            </w:r>
            <w:r/>
          </w:p>
        </w:tc>
        <w:tc>
          <w:tcPr>
            <w:tcW w:w="1839"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业绩</w:t>
            </w:r>
            <w:r/>
          </w:p>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分）</w:t>
            </w:r>
            <w:r/>
          </w:p>
        </w:tc>
        <w:tc>
          <w:tcPr>
            <w:tcW w:w="6910" w:type="dxa"/>
            <w:vAlign w:val="center"/>
            <w:textDirection w:val="lrTb"/>
            <w:noWrap w:val="false"/>
          </w:tcPr>
          <w:p>
            <w:pPr>
              <w:jc w:val="left"/>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供应商自202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年1月1日至今（以签订合同日期为准）承担过</w:t>
            </w:r>
            <w:r>
              <w:rPr>
                <w:rFonts w:hint="eastAsia" w:ascii="宋体" w:hAnsi="宋体" w:eastAsia="宋体" w:cs="宋体"/>
                <w:color w:val="000000"/>
                <w:sz w:val="24"/>
                <w:szCs w:val="24"/>
                <w:highlight w:val="cyan"/>
                <w:lang w:val="en-US" w:eastAsia="zh-CN"/>
              </w:rPr>
              <w:t xml:space="preserve">政府采购类似相关农机</w:t>
            </w:r>
            <w:r>
              <w:rPr>
                <w:rFonts w:hint="eastAsia" w:ascii="宋体" w:hAnsi="宋体" w:eastAsia="宋体" w:cs="宋体"/>
                <w:color w:val="000000"/>
                <w:sz w:val="24"/>
                <w:szCs w:val="24"/>
                <w:highlight w:val="cyan"/>
              </w:rPr>
              <w:t xml:space="preserve">产品销售业绩</w:t>
            </w:r>
            <w:r>
              <w:rPr>
                <w:rFonts w:hint="eastAsia" w:ascii="宋体" w:hAnsi="宋体" w:cs="宋体"/>
                <w:color w:val="000000"/>
                <w:sz w:val="24"/>
                <w:szCs w:val="24"/>
                <w:highlight w:val="cyan"/>
                <w:lang w:val="en-US" w:eastAsia="zh-CN"/>
              </w:rPr>
              <w:t xml:space="preserve">的</w:t>
            </w:r>
            <w:r>
              <w:rPr>
                <w:rFonts w:hint="eastAsia" w:ascii="宋体" w:hAnsi="宋体" w:eastAsia="宋体" w:cs="宋体"/>
                <w:color w:val="000000"/>
                <w:sz w:val="24"/>
                <w:szCs w:val="24"/>
                <w:highlight w:val="cyan"/>
              </w:rPr>
              <w:t xml:space="preserve">，每提供一个得</w:t>
            </w:r>
            <w:r>
              <w:rPr>
                <w:rFonts w:hint="eastAsia" w:ascii="宋体" w:hAnsi="宋体" w:cs="宋体"/>
                <w:color w:val="000000"/>
                <w:sz w:val="24"/>
                <w:szCs w:val="24"/>
                <w:highlight w:val="cyan"/>
                <w:lang w:val="en-US" w:eastAsia="zh-CN"/>
              </w:rPr>
              <w:t xml:space="preserve">2</w:t>
            </w:r>
            <w:r>
              <w:rPr>
                <w:rFonts w:hint="eastAsia" w:ascii="宋体" w:hAnsi="宋体" w:eastAsia="宋体" w:cs="宋体"/>
                <w:color w:val="000000"/>
                <w:sz w:val="24"/>
                <w:szCs w:val="24"/>
                <w:highlight w:val="cyan"/>
              </w:rPr>
              <w:t xml:space="preserve">分，</w:t>
            </w:r>
            <w:r>
              <w:rPr>
                <w:rFonts w:hint="eastAsia" w:ascii="宋体" w:hAnsi="宋体" w:eastAsia="宋体" w:cs="宋体"/>
                <w:color w:val="000000"/>
                <w:sz w:val="24"/>
                <w:szCs w:val="24"/>
                <w:highlight w:val="cyan"/>
                <w:lang w:val="en-US" w:eastAsia="zh-CN"/>
              </w:rPr>
              <w:t xml:space="preserve">本项</w:t>
            </w:r>
            <w:r>
              <w:rPr>
                <w:rFonts w:hint="eastAsia" w:ascii="宋体" w:hAnsi="宋体" w:eastAsia="宋体" w:cs="宋体"/>
                <w:color w:val="000000"/>
                <w:sz w:val="24"/>
                <w:szCs w:val="24"/>
                <w:highlight w:val="cyan"/>
              </w:rPr>
              <w:t xml:space="preserve">满分</w:t>
            </w:r>
            <w:r>
              <w:rPr>
                <w:rFonts w:hint="eastAsia" w:ascii="宋体" w:hAnsi="宋体" w:cs="宋体"/>
                <w:color w:val="000000"/>
                <w:sz w:val="24"/>
                <w:szCs w:val="24"/>
                <w:highlight w:val="cyan"/>
                <w:lang w:val="en-US" w:eastAsia="zh-CN"/>
              </w:rPr>
              <w:t xml:space="preserve">8</w:t>
            </w:r>
            <w:r>
              <w:rPr>
                <w:rFonts w:hint="eastAsia" w:ascii="宋体" w:hAnsi="宋体" w:eastAsia="宋体" w:cs="宋体"/>
                <w:color w:val="000000"/>
                <w:sz w:val="24"/>
                <w:szCs w:val="24"/>
                <w:highlight w:val="cyan"/>
              </w:rPr>
              <w:t xml:space="preserve">分。</w:t>
            </w:r>
            <w:r/>
          </w:p>
          <w:p>
            <w:pPr>
              <w:ind w:left="0" w:right="0"/>
              <w:keepLines w:val="0"/>
              <w:keepNext w:val="0"/>
              <w:spacing w:before="0" w:beforeAutospacing="0" w:after="0" w:afterAutospacing="0" w:line="360" w:lineRule="auto"/>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b/>
                <w:bCs/>
                <w:sz w:val="24"/>
                <w:szCs w:val="24"/>
                <w:highlight w:val="none"/>
              </w:rPr>
              <w:t xml:space="preserve">注：</w:t>
            </w:r>
            <w:r>
              <w:rPr>
                <w:rFonts w:hint="eastAsia" w:ascii="宋体" w:hAnsi="宋体" w:cs="Times New Roman"/>
                <w:b/>
                <w:bCs/>
                <w:color w:val="auto"/>
                <w:sz w:val="24"/>
                <w:szCs w:val="24"/>
                <w:highlight w:val="none"/>
                <w:lang w:val="en-US" w:eastAsia="zh-CN"/>
              </w:rPr>
              <w:t xml:space="preserve">响应</w:t>
            </w:r>
            <w:r>
              <w:rPr>
                <w:rFonts w:hint="eastAsia" w:ascii="宋体" w:hAnsi="宋体" w:eastAsia="宋体" w:cs="Times New Roman"/>
                <w:b/>
                <w:bCs/>
                <w:color w:val="auto"/>
                <w:sz w:val="24"/>
                <w:szCs w:val="24"/>
                <w:highlight w:val="none"/>
              </w:rPr>
              <w:t xml:space="preserve">文件中提供合同扫描件并加盖投标人公章，时间、标的内容以合同为准，否则不得分。</w:t>
            </w:r>
            <w:r/>
          </w:p>
        </w:tc>
      </w:tr>
      <w:tr>
        <w:trPr>
          <w:jc w:val="center"/>
          <w:trHeight w:val="1602"/>
        </w:trPr>
        <w:tc>
          <w:tcPr>
            <w:tcW w:w="1048"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839" w:type="dxa"/>
            <w:vAlign w:val="center"/>
            <w:textDirection w:val="lrTb"/>
            <w:noWrap w:val="false"/>
          </w:tcPr>
          <w:p>
            <w:pPr>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人员</w:t>
            </w:r>
            <w:r/>
          </w:p>
          <w:p>
            <w:pPr>
              <w:ind w:firstLine="24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分）</w:t>
            </w:r>
            <w:r/>
          </w:p>
        </w:tc>
        <w:tc>
          <w:tcPr>
            <w:tcW w:w="6910" w:type="dxa"/>
            <w:vAlign w:val="center"/>
            <w:textDirection w:val="lrTb"/>
            <w:noWrap w:val="false"/>
          </w:tcPr>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投标单位须为本项目配备专业的维修团队。</w:t>
            </w:r>
            <w:r>
              <w:rPr>
                <w:rFonts w:hint="eastAsia" w:ascii="宋体" w:hAnsi="宋体" w:eastAsia="宋体" w:cs="宋体"/>
                <w:color w:val="000000"/>
                <w:sz w:val="24"/>
                <w:szCs w:val="24"/>
                <w:highlight w:val="none"/>
                <w:lang w:eastAsia="zh-CN"/>
              </w:rPr>
              <w:t xml:space="preserve">维修团队成员</w:t>
            </w:r>
            <w:r>
              <w:rPr>
                <w:rFonts w:hint="eastAsia" w:ascii="宋体" w:hAnsi="宋体" w:eastAsia="宋体" w:cs="宋体"/>
                <w:color w:val="000000"/>
                <w:sz w:val="24"/>
                <w:szCs w:val="24"/>
                <w:highlight w:val="none"/>
                <w:lang w:val="en-US" w:eastAsia="zh-CN"/>
              </w:rPr>
              <w:t xml:space="preserve">每</w:t>
            </w:r>
            <w:r>
              <w:rPr>
                <w:rFonts w:hint="eastAsia" w:ascii="宋体" w:hAnsi="宋体" w:eastAsia="宋体" w:cs="宋体"/>
                <w:color w:val="000000"/>
                <w:sz w:val="24"/>
                <w:szCs w:val="24"/>
                <w:highlight w:val="none"/>
              </w:rPr>
              <w:t xml:space="preserve">配备</w:t>
            </w:r>
            <w:r>
              <w:rPr>
                <w:rFonts w:hint="eastAsia" w:ascii="宋体" w:hAnsi="宋体" w:eastAsia="宋体" w:cs="宋体"/>
                <w:color w:val="000000"/>
                <w:sz w:val="24"/>
                <w:szCs w:val="24"/>
                <w:highlight w:val="cyan"/>
                <w:lang w:val="en-US" w:eastAsia="zh-CN"/>
              </w:rPr>
              <w:t xml:space="preserve">1个</w:t>
            </w:r>
            <w:r>
              <w:rPr>
                <w:rFonts w:hint="eastAsia" w:ascii="宋体" w:hAnsi="宋体" w:cs="宋体"/>
                <w:color w:val="000000"/>
                <w:sz w:val="24"/>
                <w:szCs w:val="24"/>
                <w:highlight w:val="cyan"/>
                <w:lang w:val="en-US" w:eastAsia="zh-CN"/>
              </w:rPr>
              <w:t xml:space="preserve">专业维修</w:t>
            </w:r>
            <w:r>
              <w:rPr>
                <w:rFonts w:hint="eastAsia" w:ascii="宋体" w:hAnsi="宋体" w:eastAsia="宋体" w:cs="宋体"/>
                <w:color w:val="000000"/>
                <w:sz w:val="24"/>
                <w:szCs w:val="24"/>
                <w:highlight w:val="cyan"/>
              </w:rPr>
              <w:t xml:space="preserve">人员</w:t>
            </w:r>
            <w:r>
              <w:rPr>
                <w:rFonts w:hint="eastAsia" w:ascii="宋体" w:hAnsi="宋体" w:cs="宋体"/>
                <w:color w:val="000000"/>
                <w:sz w:val="24"/>
                <w:szCs w:val="24"/>
                <w:highlight w:val="cyan"/>
                <w:lang w:eastAsia="zh-CN"/>
              </w:rPr>
              <w:t xml:space="preserve">（</w:t>
            </w:r>
            <w:r>
              <w:rPr>
                <w:rFonts w:hint="eastAsia" w:ascii="宋体" w:hAnsi="宋体" w:cs="宋体"/>
                <w:color w:val="000000"/>
                <w:sz w:val="24"/>
                <w:szCs w:val="24"/>
                <w:highlight w:val="cyan"/>
                <w:lang w:val="en-US" w:eastAsia="zh-CN"/>
              </w:rPr>
              <w:t xml:space="preserve">初级证以上且提供社保证明</w:t>
            </w:r>
            <w:r>
              <w:rPr>
                <w:rFonts w:hint="eastAsia" w:ascii="宋体" w:hAnsi="宋体" w:cs="宋体"/>
                <w:color w:val="000000"/>
                <w:sz w:val="24"/>
                <w:szCs w:val="24"/>
                <w:highlight w:val="cyan"/>
                <w:lang w:eastAsia="zh-CN"/>
              </w:rPr>
              <w:t xml:space="preserve">）</w:t>
            </w:r>
            <w:r>
              <w:rPr>
                <w:rFonts w:hint="eastAsia" w:ascii="宋体" w:hAnsi="宋体" w:eastAsia="宋体" w:cs="宋体"/>
                <w:color w:val="000000"/>
                <w:sz w:val="24"/>
                <w:szCs w:val="24"/>
                <w:highlight w:val="cyan"/>
                <w:lang w:val="en-US" w:eastAsia="zh-CN"/>
              </w:rPr>
              <w:t xml:space="preserve">得2分</w:t>
            </w:r>
            <w:r>
              <w:rPr>
                <w:rFonts w:hint="eastAsia" w:ascii="宋体" w:hAnsi="宋体" w:eastAsia="宋体" w:cs="宋体"/>
                <w:color w:val="000000"/>
                <w:sz w:val="24"/>
                <w:szCs w:val="24"/>
                <w:highlight w:val="cyan"/>
              </w:rPr>
              <w:t xml:space="preserve">，</w:t>
            </w:r>
            <w:r>
              <w:rPr>
                <w:rFonts w:hint="eastAsia" w:ascii="宋体" w:hAnsi="宋体" w:eastAsia="宋体" w:cs="宋体"/>
                <w:color w:val="000000"/>
                <w:sz w:val="24"/>
                <w:szCs w:val="24"/>
                <w:highlight w:val="cyan"/>
                <w:lang w:val="en-US" w:eastAsia="zh-CN"/>
              </w:rPr>
              <w:t xml:space="preserve">本项</w:t>
            </w:r>
            <w:r>
              <w:rPr>
                <w:rFonts w:hint="eastAsia" w:ascii="宋体" w:hAnsi="宋体" w:eastAsia="宋体" w:cs="宋体"/>
                <w:color w:val="000000"/>
                <w:sz w:val="24"/>
                <w:szCs w:val="24"/>
                <w:highlight w:val="cyan"/>
              </w:rPr>
              <w:t xml:space="preserve">最高得</w:t>
            </w:r>
            <w:r>
              <w:rPr>
                <w:rFonts w:hint="eastAsia" w:ascii="宋体" w:hAnsi="宋体" w:cs="宋体"/>
                <w:color w:val="000000"/>
                <w:sz w:val="24"/>
                <w:szCs w:val="24"/>
                <w:highlight w:val="cyan"/>
                <w:lang w:val="en-US" w:eastAsia="zh-CN"/>
              </w:rPr>
              <w:t xml:space="preserve">4</w:t>
            </w:r>
            <w:r>
              <w:rPr>
                <w:rFonts w:hint="eastAsia" w:ascii="宋体" w:hAnsi="宋体" w:eastAsia="宋体" w:cs="宋体"/>
                <w:color w:val="000000"/>
                <w:sz w:val="24"/>
                <w:szCs w:val="24"/>
                <w:highlight w:val="cyan"/>
              </w:rPr>
              <w:t xml:space="preserve">分。</w:t>
            </w:r>
            <w:r/>
          </w:p>
        </w:tc>
      </w:tr>
    </w:tbl>
    <w:p>
      <w:pPr>
        <w:pStyle w:val="930"/>
        <w:ind w:left="0" w:firstLine="0"/>
        <w:spacing w:before="0" w:after="0" w:line="520" w:lineRule="exact"/>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r>
      <w:r/>
    </w:p>
    <w:p>
      <w:pPr>
        <w:pStyle w:val="930"/>
        <w:ind w:left="0" w:firstLine="0"/>
        <w:spacing w:before="0" w:after="0" w:line="520" w:lineRule="exact"/>
        <w:rPr>
          <w:rFonts w:hint="eastAsia" w:ascii="宋体" w:hAnsi="宋体" w:eastAsia="宋体" w:cs="宋体"/>
          <w:b/>
          <w:color w:val="auto"/>
          <w:sz w:val="32"/>
          <w:szCs w:val="32"/>
          <w:highlight w:val="none"/>
          <w:lang w:val="en-US" w:eastAsia="zh-CN" w:bidi="ar-SA"/>
        </w:rPr>
      </w:pPr>
      <w:r>
        <w:rPr>
          <w:rFonts w:hint="eastAsia" w:ascii="宋体" w:hAnsi="宋体" w:eastAsia="宋体" w:cs="宋体"/>
          <w:bCs/>
          <w:color w:val="auto"/>
          <w:sz w:val="24"/>
          <w:szCs w:val="24"/>
          <w:highlight w:val="none"/>
        </w:rPr>
        <w:t xml:space="preserve">五、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pStyle w:val="930"/>
        <w:ind w:left="0" w:firstLine="0"/>
        <w:spacing w:before="0" w:after="0" w:line="520" w:lineRule="exact"/>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r>
      <w:r/>
    </w:p>
    <w:p>
      <w:pPr>
        <w:rPr>
          <w:rFonts w:hint="eastAsia" w:ascii="宋体" w:hAnsi="宋体" w:eastAsia="宋体" w:cs="宋体"/>
          <w:color w:val="auto"/>
          <w:highlight w:val="none"/>
        </w:rPr>
      </w:pPr>
      <w:r/>
      <w:bookmarkStart w:id="199" w:name="_Toc465856616"/>
      <w:r/>
      <w:bookmarkStart w:id="200" w:name="_Toc29155"/>
      <w:r/>
      <w:bookmarkStart w:id="201" w:name="_Toc28724"/>
      <w:r/>
      <w:bookmarkStart w:id="202" w:name="_Toc2728"/>
      <w:r/>
      <w:r/>
    </w:p>
    <w:p>
      <w:pPr>
        <w:rPr>
          <w:rFonts w:hint="eastAsia" w:ascii="宋体" w:hAnsi="宋体" w:eastAsia="宋体" w:cs="宋体"/>
          <w:color w:val="auto"/>
          <w:highlight w:val="none"/>
        </w:rPr>
      </w:pPr>
      <w:r/>
      <w:bookmarkStart w:id="203" w:name="_Toc9369"/>
      <w:r>
        <w:rPr>
          <w:rFonts w:hint="eastAsia" w:ascii="宋体" w:hAnsi="宋体" w:eastAsia="宋体" w:cs="宋体"/>
          <w:color w:val="auto"/>
          <w:highlight w:val="none"/>
        </w:rPr>
        <w:br w:type="page" w:clear="all"/>
      </w:r>
      <w:r/>
    </w:p>
    <w:p>
      <w:pPr>
        <w:pStyle w:val="687"/>
        <w:rPr>
          <w:rFonts w:hint="eastAsia" w:ascii="宋体" w:hAnsi="宋体" w:eastAsia="宋体" w:cs="宋体"/>
          <w:color w:val="auto"/>
          <w:highlight w:val="none"/>
        </w:rPr>
      </w:pPr>
      <w:r>
        <w:rPr>
          <w:rFonts w:hint="eastAsia" w:ascii="宋体" w:hAnsi="宋体" w:eastAsia="宋体" w:cs="宋体"/>
          <w:color w:val="auto"/>
          <w:highlight w:val="none"/>
        </w:rPr>
        <w:t xml:space="preserve">第六章  响应文件格式</w:t>
      </w:r>
      <w:bookmarkEnd w:id="199"/>
      <w:r/>
      <w:bookmarkEnd w:id="200"/>
      <w:r/>
      <w:bookmarkEnd w:id="201"/>
      <w:r/>
      <w:bookmarkEnd w:id="202"/>
      <w:r/>
      <w:bookmarkEnd w:id="203"/>
      <w:r/>
      <w:r/>
    </w:p>
    <w:p>
      <w:pPr>
        <w:pStyle w:val="708"/>
        <w:ind w:left="1874" w:right="1470" w:firstLine="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
          <w:color w:val="auto"/>
          <w:sz w:val="72"/>
          <w:szCs w:val="21"/>
          <w:highlight w:val="none"/>
        </w:rPr>
        <w:outlineLvl w:val="0"/>
      </w:pPr>
      <w:r/>
      <w:bookmarkStart w:id="204" w:name="_Toc5501"/>
      <w:r/>
      <w:bookmarkStart w:id="205" w:name="_Toc28003"/>
      <w:r/>
      <w:bookmarkStart w:id="206" w:name="_Toc6410"/>
      <w:r/>
      <w:bookmarkStart w:id="207" w:name="_Toc24878535"/>
      <w:r/>
      <w:bookmarkStart w:id="208" w:name="_Toc23828483"/>
      <w:r/>
      <w:bookmarkStart w:id="209" w:name="_Toc513029281"/>
      <w:r/>
      <w:bookmarkStart w:id="210" w:name="_Toc22356583"/>
      <w:r/>
      <w:bookmarkStart w:id="211" w:name="_Toc120614284"/>
      <w:r/>
      <w:bookmarkStart w:id="212" w:name="_Toc26554103"/>
      <w:r/>
      <w:bookmarkStart w:id="213" w:name="_Toc49090582"/>
      <w:r/>
      <w:bookmarkStart w:id="214" w:name="_Toc120614291"/>
      <w:r/>
      <w:r/>
    </w:p>
    <w:p>
      <w:pPr>
        <w:jc w:val="center"/>
        <w:rPr>
          <w:rFonts w:hint="eastAsia" w:ascii="宋体" w:hAnsi="宋体" w:eastAsia="宋体" w:cs="宋体"/>
          <w:b/>
          <w:color w:val="auto"/>
          <w:sz w:val="72"/>
          <w:szCs w:val="21"/>
          <w:highlight w:val="none"/>
        </w:rPr>
        <w:outlineLvl w:val="0"/>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72"/>
          <w:szCs w:val="21"/>
          <w:highlight w:val="none"/>
        </w:rPr>
        <w:outlineLvl w:val="0"/>
      </w:pPr>
      <w:r>
        <w:rPr>
          <w:rFonts w:hint="eastAsia" w:ascii="宋体" w:hAnsi="宋体" w:eastAsia="宋体" w:cs="宋体"/>
          <w:b/>
          <w:color w:val="auto"/>
          <w:sz w:val="72"/>
          <w:szCs w:val="21"/>
          <w:highlight w:val="none"/>
        </w:rPr>
        <w:t xml:space="preserve">竞争性磋商响应文件</w:t>
      </w:r>
      <w:bookmarkEnd w:id="204"/>
      <w:r/>
      <w:bookmarkEnd w:id="205"/>
      <w:r/>
      <w:bookmarkEnd w:id="206"/>
      <w:r/>
      <w:r/>
    </w:p>
    <w:p>
      <w:pPr>
        <w:pStyle w:val="930"/>
        <w:ind w:firstLine="0"/>
        <w:jc w:val="center"/>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ind w:firstLine="1084"/>
        <w:rPr>
          <w:rFonts w:hint="eastAsia" w:ascii="宋体" w:hAnsi="宋体" w:eastAsia="宋体" w:cs="宋体"/>
          <w:b/>
          <w:color w:val="auto"/>
          <w:sz w:val="36"/>
          <w:szCs w:val="21"/>
          <w:highlight w:val="none"/>
        </w:rPr>
        <w:outlineLvl w:val="0"/>
      </w:pPr>
      <w:r/>
      <w:bookmarkStart w:id="215" w:name="_Toc30592"/>
      <w:r/>
      <w:bookmarkStart w:id="216" w:name="_Toc20450"/>
      <w:r/>
      <w:bookmarkStart w:id="217" w:name="_Toc14441"/>
      <w:r>
        <w:rPr>
          <w:rFonts w:hint="eastAsia" w:ascii="宋体" w:hAnsi="宋体" w:eastAsia="宋体" w:cs="宋体"/>
          <w:b/>
          <w:color w:val="auto"/>
          <w:sz w:val="36"/>
          <w:szCs w:val="21"/>
          <w:highlight w:val="none"/>
        </w:rPr>
        <w:t xml:space="preserve">（正或副）本</w:t>
      </w:r>
      <w:bookmarkEnd w:id="215"/>
      <w:r/>
      <w:bookmarkEnd w:id="216"/>
      <w:r/>
      <w:bookmarkEnd w:id="217"/>
      <w:r/>
      <w:r/>
    </w:p>
    <w:p>
      <w:pPr>
        <w:ind w:firstLine="1084"/>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1084"/>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1084"/>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1084"/>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1084"/>
        <w:rPr>
          <w:rFonts w:hint="eastAsia" w:ascii="宋体" w:hAnsi="宋体" w:eastAsia="宋体" w:cs="宋体"/>
          <w:b/>
          <w:color w:val="auto"/>
          <w:sz w:val="36"/>
          <w:highlight w:val="none"/>
        </w:rPr>
        <w:outlineLvl w:val="0"/>
      </w:pPr>
      <w:r/>
      <w:bookmarkStart w:id="218" w:name="_Toc11842"/>
      <w:r/>
      <w:bookmarkStart w:id="219" w:name="_Toc18820"/>
      <w:r/>
      <w:bookmarkStart w:id="220" w:name="_Toc12634"/>
      <w:r>
        <w:rPr>
          <w:rFonts w:hint="eastAsia" w:ascii="宋体" w:hAnsi="宋体" w:eastAsia="宋体" w:cs="宋体"/>
          <w:b/>
          <w:color w:val="auto"/>
          <w:sz w:val="36"/>
          <w:highlight w:val="none"/>
        </w:rPr>
        <w:t xml:space="preserve">标 段 名 称：</w:t>
      </w:r>
      <w:bookmarkEnd w:id="218"/>
      <w:r/>
      <w:bookmarkEnd w:id="219"/>
      <w:r/>
      <w:bookmarkEnd w:id="220"/>
      <w:r/>
      <w:r/>
    </w:p>
    <w:p>
      <w:pPr>
        <w:ind w:firstLine="1084"/>
        <w:rPr>
          <w:rFonts w:hint="eastAsia" w:ascii="宋体" w:hAnsi="宋体" w:eastAsia="宋体" w:cs="宋体"/>
          <w:b/>
          <w:color w:val="auto"/>
          <w:sz w:val="36"/>
          <w:highlight w:val="none"/>
          <w:u w:val="single"/>
        </w:rPr>
        <w:outlineLvl w:val="0"/>
      </w:pPr>
      <w:r/>
      <w:bookmarkStart w:id="221" w:name="_Toc20410"/>
      <w:r/>
      <w:bookmarkStart w:id="222" w:name="_Toc2962"/>
      <w:r/>
      <w:bookmarkStart w:id="223" w:name="_Toc31102"/>
      <w:r>
        <w:rPr>
          <w:rFonts w:hint="eastAsia" w:ascii="宋体" w:hAnsi="宋体" w:eastAsia="宋体" w:cs="宋体"/>
          <w:b/>
          <w:color w:val="auto"/>
          <w:sz w:val="36"/>
          <w:highlight w:val="none"/>
        </w:rPr>
        <w:t xml:space="preserve">标 段 编 号：</w:t>
      </w:r>
      <w:bookmarkEnd w:id="221"/>
      <w:r/>
      <w:bookmarkEnd w:id="222"/>
      <w:r/>
      <w:bookmarkEnd w:id="223"/>
      <w:r/>
      <w:r/>
    </w:p>
    <w:p>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964"/>
        <w:rPr>
          <w:rFonts w:hint="eastAsia" w:ascii="宋体" w:hAnsi="宋体" w:eastAsia="宋体" w:cs="宋体"/>
          <w:b/>
          <w:color w:val="auto"/>
          <w:sz w:val="32"/>
          <w:szCs w:val="32"/>
          <w:highlight w:val="none"/>
        </w:rPr>
        <w:outlineLvl w:val="0"/>
      </w:pPr>
      <w:r/>
      <w:bookmarkStart w:id="224" w:name="_Toc2814"/>
      <w:r/>
      <w:bookmarkStart w:id="225" w:name="_Toc12100"/>
      <w:r/>
      <w:bookmarkStart w:id="226" w:name="_Toc27874"/>
      <w:r>
        <w:rPr>
          <w:rFonts w:hint="eastAsia" w:ascii="宋体" w:hAnsi="宋体" w:eastAsia="宋体" w:cs="宋体"/>
          <w:b/>
          <w:color w:val="auto"/>
          <w:sz w:val="32"/>
          <w:szCs w:val="32"/>
          <w:highlight w:val="none"/>
        </w:rPr>
        <w:t xml:space="preserve">磋商供应商名称：</w:t>
      </w:r>
      <w:bookmarkEnd w:id="224"/>
      <w:r/>
      <w:bookmarkEnd w:id="225"/>
      <w:r/>
      <w:bookmarkEnd w:id="226"/>
      <w:r/>
      <w:r/>
    </w:p>
    <w:p>
      <w:pPr>
        <w:ind w:firstLine="964"/>
        <w:rPr>
          <w:rFonts w:hint="eastAsia" w:ascii="宋体" w:hAnsi="宋体" w:eastAsia="宋体" w:cs="宋体"/>
          <w:b/>
          <w:color w:val="auto"/>
          <w:sz w:val="32"/>
          <w:szCs w:val="32"/>
          <w:highlight w:val="none"/>
        </w:rPr>
        <w:outlineLvl w:val="0"/>
      </w:pPr>
      <w:r/>
      <w:bookmarkStart w:id="227" w:name="_Toc14811"/>
      <w:r/>
      <w:bookmarkStart w:id="228" w:name="_Toc4106"/>
      <w:r/>
      <w:bookmarkStart w:id="229" w:name="_Toc16685"/>
      <w:r>
        <w:rPr>
          <w:rFonts w:hint="eastAsia" w:ascii="宋体" w:hAnsi="宋体" w:eastAsia="宋体" w:cs="宋体"/>
          <w:b/>
          <w:color w:val="auto"/>
          <w:sz w:val="32"/>
          <w:szCs w:val="32"/>
          <w:highlight w:val="none"/>
        </w:rPr>
        <w:t xml:space="preserve">磋商供应商地址：</w:t>
      </w:r>
      <w:bookmarkEnd w:id="227"/>
      <w:r/>
      <w:bookmarkEnd w:id="228"/>
      <w:r/>
      <w:bookmarkEnd w:id="229"/>
      <w:r/>
      <w:r/>
    </w:p>
    <w:p>
      <w:pPr>
        <w:ind w:firstLine="964"/>
        <w:rPr>
          <w:rFonts w:hint="eastAsia" w:ascii="宋体" w:hAnsi="宋体" w:eastAsia="宋体" w:cs="宋体"/>
          <w:b/>
          <w:color w:val="auto"/>
          <w:sz w:val="32"/>
          <w:szCs w:val="32"/>
          <w:highlight w:val="none"/>
        </w:rPr>
        <w:outlineLvl w:val="0"/>
      </w:pPr>
      <w:r/>
      <w:bookmarkStart w:id="230" w:name="_Toc20377"/>
      <w:r/>
      <w:bookmarkStart w:id="231" w:name="_Toc3122"/>
      <w:r/>
      <w:bookmarkStart w:id="232" w:name="_Toc8534"/>
      <w:r>
        <w:rPr>
          <w:rFonts w:hint="eastAsia" w:ascii="宋体" w:hAnsi="宋体" w:eastAsia="宋体" w:cs="宋体"/>
          <w:b/>
          <w:color w:val="auto"/>
          <w:sz w:val="32"/>
          <w:szCs w:val="32"/>
          <w:highlight w:val="none"/>
        </w:rPr>
        <w:t xml:space="preserve">法定代表人：</w:t>
      </w:r>
      <w:bookmarkEnd w:id="230"/>
      <w:r/>
      <w:bookmarkEnd w:id="231"/>
      <w:r/>
      <w:bookmarkEnd w:id="232"/>
      <w:r/>
      <w:r/>
    </w:p>
    <w:p>
      <w:pPr>
        <w:ind w:firstLine="964"/>
        <w:rPr>
          <w:rFonts w:hint="eastAsia" w:ascii="宋体" w:hAnsi="宋体" w:eastAsia="宋体" w:cs="宋体"/>
          <w:b/>
          <w:color w:val="auto"/>
          <w:sz w:val="32"/>
          <w:szCs w:val="32"/>
          <w:highlight w:val="none"/>
        </w:rPr>
        <w:outlineLvl w:val="0"/>
      </w:pPr>
      <w:r/>
      <w:bookmarkStart w:id="233" w:name="_Toc32348"/>
      <w:r/>
      <w:bookmarkStart w:id="234" w:name="_Toc13717"/>
      <w:r/>
      <w:bookmarkStart w:id="235" w:name="_Toc19725"/>
      <w:r>
        <w:rPr>
          <w:rFonts w:hint="eastAsia" w:ascii="宋体" w:hAnsi="宋体" w:eastAsia="宋体" w:cs="宋体"/>
          <w:b/>
          <w:color w:val="auto"/>
          <w:sz w:val="32"/>
          <w:szCs w:val="32"/>
          <w:highlight w:val="none"/>
        </w:rPr>
        <w:t xml:space="preserve">委托代理人：（委托代理时填写）</w:t>
      </w:r>
      <w:bookmarkEnd w:id="233"/>
      <w:r/>
      <w:bookmarkEnd w:id="234"/>
      <w:r/>
      <w:bookmarkEnd w:id="235"/>
      <w:r/>
      <w:r/>
    </w:p>
    <w:p>
      <w:pPr>
        <w:ind w:firstLine="964"/>
        <w:rPr>
          <w:rFonts w:hint="eastAsia" w:ascii="宋体" w:hAnsi="宋体" w:eastAsia="宋体" w:cs="宋体"/>
          <w:b/>
          <w:color w:val="auto"/>
          <w:sz w:val="32"/>
          <w:szCs w:val="32"/>
          <w:highlight w:val="none"/>
        </w:rPr>
        <w:outlineLvl w:val="0"/>
      </w:pPr>
      <w:r/>
      <w:bookmarkStart w:id="236" w:name="_Toc24742"/>
      <w:r/>
      <w:bookmarkStart w:id="237" w:name="_Toc31683"/>
      <w:r/>
      <w:bookmarkStart w:id="238" w:name="_Toc12338"/>
      <w:r>
        <w:rPr>
          <w:rFonts w:hint="eastAsia" w:ascii="宋体" w:hAnsi="宋体" w:eastAsia="宋体" w:cs="宋体"/>
          <w:b/>
          <w:color w:val="auto"/>
          <w:sz w:val="32"/>
          <w:szCs w:val="32"/>
          <w:highlight w:val="none"/>
        </w:rPr>
        <w:t xml:space="preserve">日      期：</w:t>
      </w:r>
      <w:bookmarkEnd w:id="236"/>
      <w:r/>
      <w:bookmarkEnd w:id="237"/>
      <w:r/>
      <w:bookmarkEnd w:id="238"/>
      <w:r/>
      <w:r/>
    </w:p>
    <w:p>
      <w:pPr>
        <w:pStyle w:val="930"/>
        <w:ind w:firstLine="2464"/>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pStyle w:val="930"/>
        <w:ind w:firstLine="0"/>
        <w:spacing w:before="0" w:after="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
          <w:color w:val="auto"/>
          <w:sz w:val="32"/>
          <w:szCs w:val="32"/>
          <w:highlight w:val="none"/>
        </w:rPr>
        <w:outlineLvl w:val="0"/>
      </w:pPr>
      <w:r/>
      <w:bookmarkStart w:id="239" w:name="_Toc4212"/>
      <w:r/>
      <w:bookmarkStart w:id="240" w:name="_Toc15296"/>
      <w:r/>
      <w:bookmarkStart w:id="241" w:name="_Toc10241"/>
      <w:r>
        <w:rPr>
          <w:rFonts w:hint="eastAsia" w:ascii="宋体" w:hAnsi="宋体" w:eastAsia="宋体" w:cs="宋体"/>
          <w:b/>
          <w:color w:val="auto"/>
          <w:sz w:val="32"/>
          <w:szCs w:val="32"/>
          <w:highlight w:val="none"/>
        </w:rPr>
        <w:t xml:space="preserve">一、磋商响应函</w:t>
      </w:r>
      <w:bookmarkEnd w:id="239"/>
      <w:r/>
      <w:bookmarkEnd w:id="240"/>
      <w:r/>
      <w:bookmarkEnd w:id="241"/>
      <w:r/>
      <w:r/>
    </w:p>
    <w:p>
      <w:pPr>
        <w:pStyle w:val="941"/>
        <w:ind w:firstLine="48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致：</w:t>
      </w:r>
      <w:r/>
    </w:p>
    <w:p>
      <w:pPr>
        <w:pStyle w:val="941"/>
        <w:ind w:firstLine="482"/>
        <w:spacing w:line="5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根据贵方 （标段编号： ）磋商文件，正式授权下述签字人_________ 代表我方______________参加贵方组织的采购磋商活动，按照竞争性磋商文件要求提交响应文件。</w:t>
      </w:r>
      <w:r/>
    </w:p>
    <w:p>
      <w:pPr>
        <w:pStyle w:val="731"/>
        <w:ind w:firstLine="567"/>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据此函，签字人兹宣布同意如下：</w:t>
      </w:r>
      <w:r/>
    </w:p>
    <w:p>
      <w:pPr>
        <w:pStyle w:val="731"/>
        <w:ind w:firstLine="567"/>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1、按磋商文件项目需求提交磋商报价，报价、供货期等详见开标一览表。</w:t>
      </w:r>
      <w:r/>
    </w:p>
    <w:p>
      <w:pPr>
        <w:pStyle w:val="731"/>
        <w:ind w:firstLine="567"/>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2、我方同意在本标段磋商文件中规定的响应文件递交截止之日起60天内遵守本响应文件中的承诺且在此期限期满之前均具有约束力。</w:t>
      </w:r>
      <w:r/>
    </w:p>
    <w:p>
      <w:pPr>
        <w:pStyle w:val="731"/>
        <w:ind w:firstLine="567"/>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3、我方承诺已经具备《中华人民共和国政府采购法》中规定的参加政府采购活动的供应商应当具备的条件：</w:t>
      </w:r>
      <w:r/>
    </w:p>
    <w:p>
      <w:pPr>
        <w:pStyle w:val="731"/>
        <w:ind w:firstLine="567"/>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（1）具有独立承担民事责任的能力；</w:t>
      </w:r>
      <w:r/>
    </w:p>
    <w:p>
      <w:pPr>
        <w:pStyle w:val="731"/>
        <w:ind w:firstLine="567"/>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（2）具有良好的商业信誉和健全的财务会计制度；</w:t>
      </w:r>
      <w:r/>
    </w:p>
    <w:p>
      <w:pPr>
        <w:pStyle w:val="731"/>
        <w:ind w:firstLine="567"/>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（3）具有履行合同所必需的设备和专业技术能力；</w:t>
      </w:r>
      <w:r/>
    </w:p>
    <w:p>
      <w:pPr>
        <w:pStyle w:val="731"/>
        <w:ind w:firstLine="567"/>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（4）有依法缴纳税收和社会保障资金的良好记录；</w:t>
      </w:r>
      <w:r/>
    </w:p>
    <w:p>
      <w:pPr>
        <w:pStyle w:val="731"/>
        <w:ind w:firstLine="567"/>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（5）参加此项采购活动前三年内，在经营活动中没有重大违法记录。</w:t>
      </w:r>
      <w:r/>
    </w:p>
    <w:p>
      <w:pPr>
        <w:pStyle w:val="731"/>
        <w:ind w:firstLine="567"/>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4、我方根据磋商文件的规定，承担完成合同的责任和义务。</w:t>
      </w:r>
      <w:r/>
    </w:p>
    <w:p>
      <w:pPr>
        <w:pStyle w:val="731"/>
        <w:ind w:firstLine="567"/>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5、我方已详细审核磋商文件，我方知道必须放弃提出含糊不清或误解问题的权利。</w:t>
      </w:r>
      <w:r/>
    </w:p>
    <w:p>
      <w:pPr>
        <w:pStyle w:val="731"/>
        <w:ind w:firstLine="567"/>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6、我方保证在响应文件有效期内不撤回、保证没有其他违约行为。</w:t>
      </w:r>
      <w:r/>
    </w:p>
    <w:p>
      <w:pPr>
        <w:pStyle w:val="731"/>
        <w:ind w:firstLine="567"/>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7、同意应贵方要求提供与本次采购活动有关的任何数据或资料。</w:t>
      </w:r>
      <w:r/>
    </w:p>
    <w:p>
      <w:pPr>
        <w:pStyle w:val="731"/>
        <w:ind w:firstLine="567"/>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8、我方完全理解，最低报价不是中标（成交）的唯一条件。</w:t>
      </w:r>
      <w:r/>
    </w:p>
    <w:p>
      <w:pPr>
        <w:pStyle w:val="731"/>
        <w:ind w:firstLine="567"/>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9、若贵方需要，我方愿意提供我方作出的一切承诺的证明材料。</w:t>
      </w:r>
      <w:r/>
    </w:p>
    <w:p>
      <w:pPr>
        <w:pStyle w:val="731"/>
        <w:ind w:firstLine="567"/>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pStyle w:val="731"/>
        <w:ind w:firstLine="567"/>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（1）提供虚假材料谋取中标、成交的；</w:t>
      </w:r>
      <w:r/>
    </w:p>
    <w:p>
      <w:pPr>
        <w:pStyle w:val="731"/>
        <w:ind w:firstLine="567"/>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（2）采取不正当手段诋毁、排挤其他供应商的；</w:t>
      </w:r>
      <w:r/>
    </w:p>
    <w:p>
      <w:pPr>
        <w:pStyle w:val="731"/>
        <w:ind w:firstLine="567"/>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（3）与采购人、其他供应商或者采购代理机构恶意串通的；</w:t>
      </w:r>
      <w:r/>
    </w:p>
    <w:p>
      <w:pPr>
        <w:pStyle w:val="731"/>
        <w:ind w:firstLine="567"/>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（4）向采购人、采购代理机构行贿或者提供其他不正当利益的；</w:t>
      </w:r>
      <w:r/>
    </w:p>
    <w:p>
      <w:pPr>
        <w:pStyle w:val="731"/>
        <w:ind w:firstLine="567"/>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（5）在采购过程中与采购人进行协商谈判的；</w:t>
      </w:r>
      <w:r/>
    </w:p>
    <w:p>
      <w:pPr>
        <w:pStyle w:val="731"/>
        <w:ind w:firstLine="567"/>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（6）拒绝有关部门监督检查或提供虚假情况的。</w:t>
      </w:r>
      <w:r/>
    </w:p>
    <w:p>
      <w:pPr>
        <w:pStyle w:val="731"/>
        <w:ind w:firstLine="567"/>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31"/>
        <w:ind w:firstLine="567"/>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法定代表人或其委托代理人签字（或盖章）：</w:t>
      </w:r>
      <w:r/>
    </w:p>
    <w:p>
      <w:pPr>
        <w:pStyle w:val="731"/>
        <w:ind w:firstLine="567"/>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供应商公章：</w:t>
      </w:r>
      <w:r/>
    </w:p>
    <w:p>
      <w:pPr>
        <w:pStyle w:val="731"/>
        <w:ind w:firstLine="567"/>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日期：年月日</w:t>
      </w:r>
      <w:r/>
    </w:p>
    <w:p>
      <w:pPr>
        <w:pStyle w:val="731"/>
        <w:ind w:firstLine="567"/>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31"/>
        <w:ind w:firstLine="567"/>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注：未按照本响应函的格式要求填写的，将造成非实质响应，从而导致该供应商响应无效。</w:t>
      </w:r>
      <w:r/>
    </w:p>
    <w:p>
      <w:pPr>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0"/>
          <w:szCs w:val="30"/>
          <w:highlight w:val="none"/>
          <w:u w:val="single"/>
        </w:rPr>
        <w:br w:type="page" w:clear="all"/>
      </w:r>
      <w:bookmarkStart w:id="242" w:name="_Toc20569"/>
      <w:r/>
      <w:bookmarkStart w:id="243" w:name="_Toc25494"/>
      <w:r/>
      <w:bookmarkStart w:id="244" w:name="_Toc14836"/>
      <w:r>
        <w:rPr>
          <w:rFonts w:hint="eastAsia" w:ascii="宋体" w:hAnsi="宋体" w:eastAsia="宋体" w:cs="宋体"/>
          <w:b/>
          <w:color w:val="auto"/>
          <w:sz w:val="32"/>
          <w:szCs w:val="32"/>
          <w:highlight w:val="none"/>
        </w:rPr>
        <w:t xml:space="preserve">二、磋商响应首次报价表</w:t>
      </w:r>
      <w:bookmarkEnd w:id="242"/>
      <w:r/>
      <w:bookmarkEnd w:id="243"/>
      <w:r/>
      <w:bookmarkEnd w:id="244"/>
      <w:r>
        <w:rPr>
          <w:rFonts w:hint="eastAsia" w:ascii="宋体" w:hAnsi="宋体" w:eastAsia="宋体" w:cs="宋体"/>
          <w:b/>
          <w:color w:val="auto"/>
          <w:sz w:val="32"/>
          <w:szCs w:val="32"/>
          <w:highlight w:val="none"/>
        </w:rPr>
        <w:t xml:space="preserve">（开标一览表）</w:t>
      </w:r>
      <w:r/>
    </w:p>
    <w:p>
      <w:pPr>
        <w:pStyle w:val="687"/>
        <w:ind w:left="420"/>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r>
      <w:r/>
    </w:p>
    <w:p>
      <w:pPr>
        <w:jc w:val="left"/>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标段名称：</w:t>
      </w:r>
      <w:r/>
    </w:p>
    <w:p>
      <w:pPr>
        <w:pStyle w:val="70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标段编号：                                                 单位：人民币元</w:t>
      </w:r>
      <w:r/>
    </w:p>
    <w:tbl>
      <w:tblPr>
        <w:tblStyle w:val="697"/>
        <w:tblpPr w:horzAnchor="margin" w:tblpXSpec="center" w:vertAnchor="text" w:tblpY="225" w:leftFromText="180" w:topFromText="0" w:rightFromText="180" w:bottomFromText="0"/>
        <w:tblW w:w="490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614"/>
        <w:gridCol w:w="7159"/>
      </w:tblGrid>
      <w:tr>
        <w:trPr>
          <w:cantSplit/>
          <w:trHeight w:val="735"/>
        </w:trPr>
        <w:tc>
          <w:tcPr>
            <w:tcW w:w="1337" w:type="pct"/>
            <w:vAlign w:val="center"/>
            <w:textDirection w:val="lrTb"/>
            <w:noWrap/>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 w:val="24"/>
                <w:highlight w:val="none"/>
              </w:rPr>
              <w:t xml:space="preserve">标题</w:t>
            </w:r>
            <w:r/>
          </w:p>
        </w:tc>
        <w:tc>
          <w:tcPr>
            <w:tcW w:w="3662" w:type="pct"/>
            <w:vAlign w:val="center"/>
            <w:textDirection w:val="lrTb"/>
            <w:noWrap/>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 w:val="24"/>
                <w:highlight w:val="none"/>
              </w:rPr>
              <w:t xml:space="preserve">内容</w:t>
            </w:r>
            <w:r/>
          </w:p>
        </w:tc>
      </w:tr>
      <w:tr>
        <w:trPr>
          <w:cantSplit/>
          <w:trHeight w:val="1690"/>
        </w:trPr>
        <w:tc>
          <w:tcPr>
            <w:tcW w:w="1337" w:type="pct"/>
            <w:vAlign w:val="center"/>
            <w:textDirection w:val="lrTb"/>
            <w:noWrap/>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 w:val="24"/>
                <w:highlight w:val="none"/>
              </w:rPr>
              <w:t xml:space="preserve">磋商总报价</w:t>
            </w:r>
            <w:r/>
          </w:p>
        </w:tc>
        <w:tc>
          <w:tcPr>
            <w:tcW w:w="3662" w:type="pct"/>
            <w:vAlign w:val="center"/>
            <w:textDirection w:val="lrTb"/>
            <w:noWrap/>
          </w:tcPr>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大写：</w:t>
            </w:r>
            <w:r/>
          </w:p>
          <w:p>
            <w:pPr>
              <w:pStyle w:val="706"/>
              <w:ind w:firstLine="0"/>
              <w:jc w:val="left"/>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小写：</w:t>
            </w:r>
            <w:r/>
          </w:p>
        </w:tc>
      </w:tr>
      <w:tr>
        <w:trPr>
          <w:cantSplit/>
          <w:trHeight w:val="1690"/>
        </w:trPr>
        <w:tc>
          <w:tcPr>
            <w:tcW w:w="1337" w:type="pct"/>
            <w:vAlign w:val="center"/>
            <w:textDirection w:val="lrTb"/>
            <w:noWrap/>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 w:val="24"/>
                <w:highlight w:val="none"/>
              </w:rPr>
              <w:t xml:space="preserve">供货期限</w:t>
            </w:r>
            <w:r/>
          </w:p>
        </w:tc>
        <w:tc>
          <w:tcPr>
            <w:tcW w:w="3662" w:type="pct"/>
            <w:vAlign w:val="center"/>
            <w:textDirection w:val="lrTb"/>
            <w:noWrap/>
          </w:tcPr>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 w:val="24"/>
                <w:highlight w:val="none"/>
              </w:rPr>
              <w:t xml:space="preserve">合同签订之日起</w:t>
            </w:r>
            <w:r>
              <w:rPr>
                <w:rFonts w:hint="eastAsia" w:ascii="宋体" w:hAnsi="宋体" w:cs="宋体"/>
                <w:bCs/>
                <w:color w:val="auto"/>
                <w:sz w:val="24"/>
                <w:highlight w:val="none"/>
                <w:u w:val="single"/>
                <w:lang w:val="en-US" w:eastAsia="zh-CN"/>
              </w:rPr>
              <w:t xml:space="preserve">       </w:t>
            </w:r>
            <w:r>
              <w:rPr>
                <w:rFonts w:hint="eastAsia" w:ascii="宋体" w:hAnsi="宋体" w:eastAsia="宋体" w:cs="宋体"/>
                <w:bCs/>
                <w:color w:val="auto"/>
                <w:sz w:val="24"/>
                <w:highlight w:val="none"/>
              </w:rPr>
              <w:t xml:space="preserve">内完成全部供货</w:t>
            </w:r>
            <w:r/>
          </w:p>
        </w:tc>
      </w:tr>
    </w:tbl>
    <w:p>
      <w:pPr>
        <w:pStyle w:val="711"/>
        <w:spacing w:line="360" w:lineRule="auto"/>
        <w:rPr>
          <w:rFonts w:hint="eastAsia" w:ascii="宋体" w:hAnsi="宋体" w:eastAsia="宋体" w:cs="宋体"/>
          <w:bCs/>
          <w:color w:val="auto"/>
          <w:sz w:val="24"/>
          <w:highlight w:val="none"/>
        </w:rPr>
      </w:pPr>
      <w:r>
        <w:rPr>
          <w:rFonts w:hint="eastAsia" w:ascii="宋体" w:hAnsi="宋体" w:eastAsia="宋体" w:cs="宋体"/>
          <w:b/>
          <w:bCs/>
          <w:color w:val="auto"/>
          <w:sz w:val="28"/>
          <w:szCs w:val="28"/>
          <w:highlight w:val="none"/>
        </w:rPr>
        <w:t xml:space="preserve">注：本项目磋商总报价=预算金额，磋商报价得分按供应商所投产品的每吨单价计算。本项目为固定单价合同。</w:t>
      </w:r>
      <w:r/>
    </w:p>
    <w:p>
      <w:pPr>
        <w:ind w:firstLine="504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磋商供应商（公章）：</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                                          法定代表人或授权代表签字：</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日期：年月日</w:t>
      </w:r>
      <w:r/>
    </w:p>
    <w:p>
      <w:pPr>
        <w:pStyle w:val="977"/>
        <w:ind w:firstLine="0"/>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711"/>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说明：</w:t>
      </w:r>
      <w:r/>
    </w:p>
    <w:p>
      <w:pPr>
        <w:pStyle w:val="711"/>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1、该首次磋商报价表非本项目磋商中的最后报价。</w:t>
      </w:r>
      <w:r/>
    </w:p>
    <w:p>
      <w:pPr>
        <w:pStyle w:val="711"/>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2、未按照本磋商响应首次报价表（开标一览表）的格式要求填写的，将造成非实质性响应。</w:t>
      </w:r>
      <w:r/>
    </w:p>
    <w:p>
      <w:pPr>
        <w:pStyle w:val="711"/>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磋商总报价为完成本项目全部费用，包括但不限于人工、产品生产、包装、运输、机械、仓储、质量检验、验收、售后服务、保险、税费以及可能产生的为完成本项目的一切费用。乙方应已考虑履行本项目的所有市场风险，包括但不限于人力成本的增加和原材料的价格上涨、国家宏观调控、经济环境变化等因素。甲方在上述合同价款之外不再向乙方支付其他任何费用。</w:t>
      </w:r>
      <w:r/>
    </w:p>
    <w:p>
      <w:pPr>
        <w:pStyle w:val="711"/>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711"/>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711"/>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711"/>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三、磋商响应报价明细表</w:t>
      </w:r>
      <w:r/>
    </w:p>
    <w:p>
      <w:pPr>
        <w:pStyle w:val="703"/>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标段名称： </w:t>
      </w:r>
      <w:r/>
    </w:p>
    <w:p>
      <w:pPr>
        <w:pStyle w:val="703"/>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标段编号：</w:t>
      </w:r>
      <w:r/>
    </w:p>
    <w:tbl>
      <w:tblPr>
        <w:tblStyle w:val="697"/>
        <w:tblW w:w="4990" w:type="pct"/>
        <w:tblInd w:w="0" w:type="dxa"/>
        <w:tblLayout w:type="autofit"/>
        <w:tblCellMar>
          <w:left w:w="108" w:type="dxa"/>
          <w:top w:w="0" w:type="dxa"/>
          <w:right w:w="108" w:type="dxa"/>
          <w:bottom w:w="0" w:type="dxa"/>
        </w:tblCellMar>
        <w:tblLook w:val="04A0" w:firstRow="1" w:lastRow="0" w:firstColumn="1" w:lastColumn="0" w:noHBand="0" w:noVBand="1"/>
      </w:tblPr>
      <w:tblGrid>
        <w:gridCol w:w="654"/>
        <w:gridCol w:w="1311"/>
        <w:gridCol w:w="1203"/>
        <w:gridCol w:w="1020"/>
        <w:gridCol w:w="1221"/>
        <w:gridCol w:w="905"/>
        <w:gridCol w:w="1018"/>
        <w:gridCol w:w="1305"/>
        <w:gridCol w:w="1305"/>
      </w:tblGrid>
      <w:tr>
        <w:trPr>
          <w:trHeight w:val="608"/>
        </w:trPr>
        <w:tc>
          <w:tcPr>
            <w:tcBorders>
              <w:top w:val="single" w:color="auto" w:sz="4" w:space="0"/>
              <w:left w:val="single" w:color="auto" w:sz="4" w:space="0"/>
              <w:bottom w:val="single" w:color="auto" w:sz="4" w:space="0"/>
              <w:right w:val="single" w:color="auto" w:sz="4" w:space="0"/>
            </w:tcBorders>
            <w:tcW w:w="329" w:type="pct"/>
            <w:vAlign w:val="center"/>
            <w:textDirection w:val="lrTb"/>
            <w:noWrap/>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659" w:type="pct"/>
            <w:vAlign w:val="center"/>
            <w:textDirection w:val="lrTb"/>
            <w:noWrap/>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货物名称</w:t>
            </w:r>
            <w:r/>
          </w:p>
        </w:tc>
        <w:tc>
          <w:tcPr>
            <w:tcBorders>
              <w:top w:val="single" w:color="auto" w:sz="4" w:space="0"/>
              <w:left w:val="single" w:color="auto" w:sz="4" w:space="0"/>
              <w:bottom w:val="single" w:color="auto" w:sz="4" w:space="0"/>
              <w:right w:val="single" w:color="auto" w:sz="4" w:space="0"/>
            </w:tcBorders>
            <w:tcW w:w="605" w:type="pct"/>
            <w:vAlign w:val="center"/>
            <w:textDirection w:val="lrTb"/>
            <w:noWrap/>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生产厂商</w:t>
            </w:r>
            <w:r/>
          </w:p>
        </w:tc>
        <w:tc>
          <w:tcPr>
            <w:tcBorders>
              <w:top w:val="single" w:color="auto" w:sz="4" w:space="0"/>
              <w:left w:val="single" w:color="auto" w:sz="4" w:space="0"/>
              <w:bottom w:val="single" w:color="auto" w:sz="4" w:space="0"/>
              <w:right w:val="single" w:color="auto" w:sz="4" w:space="0"/>
            </w:tcBorders>
            <w:tcW w:w="513" w:type="pct"/>
            <w:vAlign w:val="center"/>
            <w:textDirection w:val="lrTb"/>
            <w:noWrap/>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614" w:type="pct"/>
            <w:vAlign w:val="center"/>
            <w:textDirection w:val="lrTb"/>
            <w:noWrap/>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包装规格</w:t>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单价（元）</w:t>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合计（元）</w:t>
            </w:r>
            <w:r/>
          </w:p>
        </w:tc>
      </w:tr>
      <w:tr>
        <w:trPr>
          <w:trHeight w:val="542"/>
        </w:trPr>
        <w:tc>
          <w:tcPr>
            <w:tcBorders>
              <w:top w:val="single" w:color="auto" w:sz="4" w:space="0"/>
              <w:left w:val="single" w:color="auto" w:sz="4" w:space="0"/>
              <w:bottom w:val="single" w:color="auto" w:sz="4" w:space="0"/>
              <w:right w:val="single" w:color="auto" w:sz="4" w:space="0"/>
            </w:tcBorders>
            <w:tcW w:w="329" w:type="pct"/>
            <w:vAlign w:val="center"/>
            <w:textDirection w:val="lrTb"/>
            <w:noWrap/>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659" w:type="pct"/>
            <w:vAlign w:val="center"/>
            <w:textDirection w:val="lrTb"/>
            <w:noWrap/>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05" w:type="pct"/>
            <w:vAlign w:val="center"/>
            <w:textDirection w:val="lrTb"/>
            <w:noWrap/>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13" w:type="pct"/>
            <w:vAlign w:val="center"/>
            <w:textDirection w:val="lrTb"/>
            <w:noWrap/>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14" w:type="pct"/>
            <w:vAlign w:val="center"/>
            <w:textDirection w:val="lrTb"/>
            <w:noWrap/>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65"/>
        </w:trPr>
        <w:tc>
          <w:tcPr>
            <w:tcBorders>
              <w:top w:val="single" w:color="auto" w:sz="4" w:space="0"/>
              <w:left w:val="single" w:color="auto" w:sz="4" w:space="0"/>
              <w:bottom w:val="single" w:color="auto" w:sz="4" w:space="0"/>
              <w:right w:val="single" w:color="auto" w:sz="4" w:space="0"/>
            </w:tcBorders>
            <w:tcW w:w="329"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659"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05"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13"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14"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87"/>
        </w:trPr>
        <w:tc>
          <w:tcPr>
            <w:tcBorders>
              <w:top w:val="single" w:color="auto" w:sz="4" w:space="0"/>
              <w:left w:val="single" w:color="auto" w:sz="4" w:space="0"/>
              <w:bottom w:val="single" w:color="auto" w:sz="4" w:space="0"/>
              <w:right w:val="single" w:color="auto" w:sz="4" w:space="0"/>
            </w:tcBorders>
            <w:tcW w:w="329"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659"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05"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13"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14"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87"/>
        </w:trPr>
        <w:tc>
          <w:tcPr>
            <w:tcBorders>
              <w:top w:val="single" w:color="auto" w:sz="4" w:space="0"/>
              <w:left w:val="single" w:color="auto" w:sz="4" w:space="0"/>
              <w:bottom w:val="single" w:color="auto" w:sz="4" w:space="0"/>
              <w:right w:val="single" w:color="auto" w:sz="4" w:space="0"/>
            </w:tcBorders>
            <w:tcW w:w="329"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659"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05"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13"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14"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52"/>
        </w:trPr>
        <w:tc>
          <w:tcPr>
            <w:gridSpan w:val="7"/>
            <w:tcBorders>
              <w:top w:val="single" w:color="auto" w:sz="4" w:space="0"/>
              <w:left w:val="single" w:color="auto" w:sz="4" w:space="0"/>
              <w:bottom w:val="single" w:color="auto" w:sz="4" w:space="0"/>
              <w:right w:val="single" w:color="auto" w:sz="4" w:space="0"/>
            </w:tcBorders>
            <w:tcW w:w="3687"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总计：（人民币大写）元</w:t>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pStyle w:val="703"/>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504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504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磋商供应商（公章）：</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                                          法定代表人或授权代表签字：</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日期：年月日</w:t>
      </w:r>
      <w:r/>
    </w:p>
    <w:p>
      <w:pPr>
        <w:pStyle w:val="974"/>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711"/>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说明：</w:t>
      </w:r>
      <w:r/>
    </w:p>
    <w:p>
      <w:pPr>
        <w:pStyle w:val="703"/>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1、该表报价非本次磋商中的最后报价。</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2、本项目最终结算价按照磋商首次报价与最后报价同比例变动 </w:t>
      </w:r>
      <w:r/>
    </w:p>
    <w:p>
      <w:pPr>
        <w:pStyle w:val="974"/>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703"/>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03"/>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03"/>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03"/>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03"/>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b/>
          <w:color w:val="auto"/>
          <w:sz w:val="32"/>
          <w:szCs w:val="32"/>
          <w:highlight w:val="none"/>
        </w:rPr>
        <w:outlineLvl w:val="0"/>
      </w:pPr>
      <w:r/>
      <w:bookmarkStart w:id="245" w:name="_Toc26401"/>
      <w:r/>
      <w:bookmarkStart w:id="246" w:name="_Toc14505"/>
      <w:r/>
      <w:r/>
    </w:p>
    <w:p>
      <w:pPr>
        <w:jc w:val="center"/>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t xml:space="preserve">四、中小企业声明函</w:t>
      </w:r>
      <w:r/>
    </w:p>
    <w:p>
      <w:pPr>
        <w:pStyle w:val="687"/>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本公司郑重声明，根据《政府采购促进中小企业发展管理办法》（财库﹝2020﹞46号）的规定，本公司参加</w:t>
      </w:r>
      <w:r>
        <w:rPr>
          <w:rFonts w:hint="eastAsia" w:ascii="宋体" w:hAnsi="宋体" w:eastAsia="宋体" w:cs="宋体"/>
          <w:color w:val="auto"/>
          <w:sz w:val="24"/>
          <w:highlight w:val="none"/>
          <w:u w:val="single"/>
        </w:rPr>
        <w:t xml:space="preserve">（单位名称）</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u w:val="single"/>
        </w:rPr>
        <w:t xml:space="preserve">（标段名称）</w:t>
      </w:r>
      <w:r>
        <w:rPr>
          <w:rFonts w:hint="eastAsia" w:ascii="宋体" w:hAnsi="宋体" w:eastAsia="宋体" w:cs="宋体"/>
          <w:color w:val="auto"/>
          <w:sz w:val="24"/>
          <w:highlight w:val="none"/>
        </w:rPr>
        <w:t xml:space="preserve">采购活动，提供的货物全部由符合政策要求的中小企业制造。相关企业的具体情况如下：</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w:t>
      </w:r>
      <w:r>
        <w:rPr>
          <w:rFonts w:hint="eastAsia" w:ascii="宋体" w:hAnsi="宋体" w:eastAsia="宋体" w:cs="宋体"/>
          <w:color w:val="auto"/>
          <w:sz w:val="24"/>
          <w:highlight w:val="none"/>
          <w:u w:val="single"/>
        </w:rPr>
        <w:t xml:space="preserve">（货物名称） </w:t>
      </w:r>
      <w:r>
        <w:rPr>
          <w:rFonts w:hint="eastAsia" w:ascii="宋体" w:hAnsi="宋体" w:eastAsia="宋体" w:cs="宋体"/>
          <w:color w:val="auto"/>
          <w:sz w:val="24"/>
          <w:highlight w:val="none"/>
        </w:rPr>
        <w:t xml:space="preserve">，属于</w:t>
      </w:r>
      <w:r>
        <w:rPr>
          <w:rFonts w:hint="eastAsia" w:ascii="宋体" w:hAnsi="宋体" w:eastAsia="宋体" w:cs="宋体"/>
          <w:color w:val="auto"/>
          <w:sz w:val="24"/>
          <w:highlight w:val="none"/>
          <w:u w:val="single"/>
        </w:rPr>
        <w:t xml:space="preserve">（磋商文件中明确的所属行业） </w:t>
      </w:r>
      <w:r>
        <w:rPr>
          <w:rFonts w:hint="eastAsia" w:ascii="宋体" w:hAnsi="宋体" w:eastAsia="宋体" w:cs="宋体"/>
          <w:color w:val="auto"/>
          <w:sz w:val="24"/>
          <w:highlight w:val="none"/>
        </w:rPr>
        <w:t xml:space="preserve">行业；制造商为</w:t>
      </w:r>
      <w:r>
        <w:rPr>
          <w:rFonts w:hint="eastAsia" w:ascii="宋体" w:hAnsi="宋体" w:eastAsia="宋体" w:cs="宋体"/>
          <w:color w:val="auto"/>
          <w:sz w:val="24"/>
          <w:highlight w:val="none"/>
          <w:u w:val="single"/>
        </w:rPr>
        <w:t xml:space="preserve">（企业名称）</w:t>
      </w:r>
      <w:r>
        <w:rPr>
          <w:rFonts w:hint="eastAsia" w:ascii="宋体" w:hAnsi="宋体" w:eastAsia="宋体" w:cs="宋体"/>
          <w:color w:val="auto"/>
          <w:sz w:val="24"/>
          <w:highlight w:val="none"/>
        </w:rPr>
        <w:t xml:space="preserve">，从业人员人，营业收入为万元，资产总额为万元，属于</w:t>
      </w:r>
      <w:r>
        <w:rPr>
          <w:rFonts w:hint="eastAsia" w:ascii="宋体" w:hAnsi="宋体" w:eastAsia="宋体" w:cs="宋体"/>
          <w:color w:val="auto"/>
          <w:sz w:val="24"/>
          <w:highlight w:val="none"/>
          <w:u w:val="single"/>
        </w:rPr>
        <w:t xml:space="preserve">（中型企业、小型企业、微型企业）</w:t>
      </w:r>
      <w:r>
        <w:rPr>
          <w:rFonts w:hint="eastAsia" w:ascii="宋体" w:hAnsi="宋体" w:eastAsia="宋体" w:cs="宋体"/>
          <w:color w:val="auto"/>
          <w:sz w:val="24"/>
          <w:highlight w:val="none"/>
        </w:rPr>
        <w:t xml:space="preserve">；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w:t>
      </w:r>
      <w:r>
        <w:rPr>
          <w:rFonts w:hint="eastAsia" w:ascii="宋体" w:hAnsi="宋体" w:eastAsia="宋体" w:cs="宋体"/>
          <w:color w:val="auto"/>
          <w:sz w:val="24"/>
          <w:highlight w:val="none"/>
          <w:u w:val="single"/>
        </w:rPr>
        <w:t xml:space="preserve">（货物名称） </w:t>
      </w:r>
      <w:r>
        <w:rPr>
          <w:rFonts w:hint="eastAsia" w:ascii="宋体" w:hAnsi="宋体" w:eastAsia="宋体" w:cs="宋体"/>
          <w:color w:val="auto"/>
          <w:sz w:val="24"/>
          <w:highlight w:val="none"/>
        </w:rPr>
        <w:t xml:space="preserve">，属于</w:t>
      </w:r>
      <w:r>
        <w:rPr>
          <w:rFonts w:hint="eastAsia" w:ascii="宋体" w:hAnsi="宋体" w:eastAsia="宋体" w:cs="宋体"/>
          <w:color w:val="auto"/>
          <w:sz w:val="24"/>
          <w:highlight w:val="none"/>
          <w:u w:val="single"/>
        </w:rPr>
        <w:t xml:space="preserve">（磋商文件中明确的所属行业） </w:t>
      </w:r>
      <w:r>
        <w:rPr>
          <w:rFonts w:hint="eastAsia" w:ascii="宋体" w:hAnsi="宋体" w:eastAsia="宋体" w:cs="宋体"/>
          <w:color w:val="auto"/>
          <w:sz w:val="24"/>
          <w:highlight w:val="none"/>
        </w:rPr>
        <w:t xml:space="preserve">行业；制造商为</w:t>
      </w:r>
      <w:r>
        <w:rPr>
          <w:rFonts w:hint="eastAsia" w:ascii="宋体" w:hAnsi="宋体" w:eastAsia="宋体" w:cs="宋体"/>
          <w:color w:val="auto"/>
          <w:sz w:val="24"/>
          <w:highlight w:val="none"/>
          <w:u w:val="single"/>
        </w:rPr>
        <w:t xml:space="preserve">（企业名称）</w:t>
      </w:r>
      <w:r>
        <w:rPr>
          <w:rFonts w:hint="eastAsia" w:ascii="宋体" w:hAnsi="宋体" w:eastAsia="宋体" w:cs="宋体"/>
          <w:color w:val="auto"/>
          <w:sz w:val="24"/>
          <w:highlight w:val="none"/>
        </w:rPr>
        <w:t xml:space="preserve">，从业人员人，营业收入为万元，资产总额为万元，属于</w:t>
      </w:r>
      <w:r>
        <w:rPr>
          <w:rFonts w:hint="eastAsia" w:ascii="宋体" w:hAnsi="宋体" w:eastAsia="宋体" w:cs="宋体"/>
          <w:color w:val="auto"/>
          <w:sz w:val="24"/>
          <w:highlight w:val="none"/>
          <w:u w:val="single"/>
        </w:rPr>
        <w:t xml:space="preserve">（中型企业、小型企业、微型企业）</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480" w:firstLine="49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480" w:firstLine="49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企业名称（盖章）：</w:t>
      </w:r>
      <w:r/>
    </w:p>
    <w:p>
      <w:pPr>
        <w:ind w:right="480" w:firstLine="49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 期：年月日</w:t>
      </w:r>
      <w:r/>
    </w:p>
    <w:p>
      <w:pPr>
        <w:ind w:right="480"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right="480"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right="480"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right="480" w:firstLine="422"/>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填报说明：</w:t>
      </w:r>
      <w:r/>
    </w:p>
    <w:p>
      <w:pPr>
        <w:ind w:firstLine="422"/>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1、从业人员、营业收入、资产总额填报上一年度数据，无上一年度数据的新成立企业可不填报。</w:t>
      </w:r>
      <w:r/>
    </w:p>
    <w:p>
      <w:pPr>
        <w:ind w:firstLine="422"/>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2、请供应商如实填写，所填内容将作为评审的依据。其内容填写须与报价明细表一致，如填写不完整或不一致，将不享受扶持政策。</w:t>
      </w:r>
      <w:r/>
    </w:p>
    <w:p>
      <w:pPr>
        <w:ind w:firstLine="422"/>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3、成交供应商的《中小企业声明函》随成交结果公开。</w:t>
      </w:r>
      <w:r/>
    </w:p>
    <w:p>
      <w:pPr>
        <w:pStyle w:val="735"/>
        <w:ind w:firstLine="28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6776"/>
        <w:spacing w:line="360" w:lineRule="auto"/>
        <w:rPr>
          <w:rFonts w:hint="eastAsia" w:ascii="宋体" w:hAnsi="宋体" w:eastAsia="宋体" w:cs="宋体"/>
          <w:b/>
          <w:color w:val="auto"/>
          <w:sz w:val="30"/>
          <w:szCs w:val="30"/>
          <w:highlight w:val="none"/>
          <w:u w:val="single"/>
        </w:rPr>
      </w:pPr>
      <w:r>
        <w:rPr>
          <w:rFonts w:hint="eastAsia" w:ascii="宋体" w:hAnsi="宋体" w:eastAsia="宋体" w:cs="宋体"/>
          <w:b/>
          <w:color w:val="auto"/>
          <w:sz w:val="30"/>
          <w:szCs w:val="30"/>
          <w:highlight w:val="none"/>
          <w:u w:val="single"/>
        </w:rPr>
      </w:r>
      <w:r/>
    </w:p>
    <w:p>
      <w:pPr>
        <w:pStyle w:val="97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3"/>
        <w:rPr>
          <w:rFonts w:hint="eastAsia" w:ascii="宋体" w:hAnsi="宋体" w:eastAsia="宋体" w:cs="宋体"/>
          <w:b/>
          <w:color w:val="auto"/>
          <w:sz w:val="30"/>
          <w:szCs w:val="30"/>
          <w:highlight w:val="none"/>
          <w:u w:val="single"/>
        </w:rPr>
      </w:pPr>
      <w:r>
        <w:rPr>
          <w:rFonts w:hint="eastAsia" w:ascii="宋体" w:hAnsi="宋体" w:eastAsia="宋体" w:cs="宋体"/>
          <w:b/>
          <w:color w:val="auto"/>
          <w:sz w:val="30"/>
          <w:szCs w:val="30"/>
          <w:highlight w:val="none"/>
          <w:u w:val="single"/>
        </w:rPr>
      </w:r>
      <w:r/>
    </w:p>
    <w:p>
      <w:pPr>
        <w:ind w:firstLine="643"/>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643"/>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643"/>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残疾人福利性单位声明函</w:t>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w:t>
      </w:r>
      <w:r>
        <w:rPr>
          <w:rFonts w:hint="eastAsia" w:ascii="宋体" w:hAnsi="宋体" w:eastAsia="宋体" w:cs="宋体"/>
          <w:color w:val="auto"/>
          <w:sz w:val="24"/>
          <w:highlight w:val="none"/>
          <w:u w:val="single"/>
        </w:rPr>
        <w:t xml:space="preserve">（货物名称）</w:t>
      </w:r>
      <w:r>
        <w:rPr>
          <w:rFonts w:hint="eastAsia" w:ascii="宋体" w:hAnsi="宋体" w:eastAsia="宋体" w:cs="宋体"/>
          <w:color w:val="auto"/>
          <w:sz w:val="24"/>
          <w:highlight w:val="none"/>
        </w:rPr>
        <w:t xml:space="preserve"> ，制造商为</w:t>
      </w:r>
      <w:r>
        <w:rPr>
          <w:rFonts w:hint="eastAsia" w:ascii="宋体" w:hAnsi="宋体" w:eastAsia="宋体" w:cs="宋体"/>
          <w:color w:val="auto"/>
          <w:sz w:val="24"/>
          <w:highlight w:val="none"/>
          <w:u w:val="single"/>
        </w:rPr>
        <w:t xml:space="preserve">　（企业名称）　</w:t>
      </w:r>
      <w:r>
        <w:rPr>
          <w:rFonts w:hint="eastAsia" w:ascii="宋体" w:hAnsi="宋体" w:eastAsia="宋体" w:cs="宋体"/>
          <w:color w:val="auto"/>
          <w:sz w:val="24"/>
          <w:highlight w:val="none"/>
        </w:rPr>
        <w:t xml:space="preserve">，属于残疾人福利性单位；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w:t>
      </w:r>
      <w:r>
        <w:rPr>
          <w:rFonts w:hint="eastAsia" w:ascii="宋体" w:hAnsi="宋体" w:eastAsia="宋体" w:cs="宋体"/>
          <w:color w:val="auto"/>
          <w:sz w:val="24"/>
          <w:highlight w:val="none"/>
          <w:u w:val="single"/>
        </w:rPr>
        <w:t xml:space="preserve">（货物名称）</w:t>
      </w:r>
      <w:r>
        <w:rPr>
          <w:rFonts w:hint="eastAsia" w:ascii="宋体" w:hAnsi="宋体" w:eastAsia="宋体" w:cs="宋体"/>
          <w:color w:val="auto"/>
          <w:sz w:val="24"/>
          <w:highlight w:val="none"/>
        </w:rPr>
        <w:t xml:space="preserve"> ，制造商为</w:t>
      </w:r>
      <w:r>
        <w:rPr>
          <w:rFonts w:hint="eastAsia" w:ascii="宋体" w:hAnsi="宋体" w:eastAsia="宋体" w:cs="宋体"/>
          <w:color w:val="auto"/>
          <w:sz w:val="24"/>
          <w:highlight w:val="none"/>
          <w:u w:val="single"/>
        </w:rPr>
        <w:t xml:space="preserve">　（企业名称）　</w:t>
      </w:r>
      <w:r>
        <w:rPr>
          <w:rFonts w:hint="eastAsia" w:ascii="宋体" w:hAnsi="宋体" w:eastAsia="宋体" w:cs="宋体"/>
          <w:color w:val="auto"/>
          <w:sz w:val="24"/>
          <w:highlight w:val="none"/>
        </w:rPr>
        <w:t xml:space="preserve">，属于残疾人福利性单位；</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　　　　　　　　　　　　　　　　　　企业名称（盖章）：</w:t>
      </w:r>
      <w:r/>
    </w:p>
    <w:p>
      <w:pPr>
        <w:ind w:firstLine="480"/>
        <w:spacing w:line="360" w:lineRule="auto"/>
        <w:rPr>
          <w:rFonts w:hint="eastAsia" w:ascii="宋体" w:hAnsi="宋体" w:eastAsia="宋体" w:cs="宋体"/>
          <w:b/>
          <w:color w:val="auto"/>
          <w:sz w:val="22"/>
          <w:szCs w:val="21"/>
          <w:highlight w:val="none"/>
        </w:rPr>
      </w:pPr>
      <w:r>
        <w:rPr>
          <w:rFonts w:hint="eastAsia" w:ascii="宋体" w:hAnsi="宋体" w:eastAsia="宋体" w:cs="宋体"/>
          <w:color w:val="auto"/>
          <w:sz w:val="24"/>
          <w:highlight w:val="none"/>
        </w:rPr>
        <w:t xml:space="preserve">　　　　　　　　　　　　　　　　　　日期：年月日</w:t>
      </w:r>
      <w:r/>
    </w:p>
    <w:p>
      <w:pPr>
        <w:ind w:firstLine="442"/>
        <w:spacing w:line="360" w:lineRule="auto"/>
        <w:rPr>
          <w:rFonts w:hint="eastAsia" w:ascii="宋体" w:hAnsi="宋体" w:eastAsia="宋体" w:cs="宋体"/>
          <w:b/>
          <w:color w:val="auto"/>
          <w:sz w:val="22"/>
          <w:szCs w:val="21"/>
          <w:highlight w:val="none"/>
        </w:rPr>
      </w:pPr>
      <w:r>
        <w:rPr>
          <w:rFonts w:hint="eastAsia" w:ascii="宋体" w:hAnsi="宋体" w:eastAsia="宋体" w:cs="宋体"/>
          <w:b/>
          <w:color w:val="auto"/>
          <w:sz w:val="22"/>
          <w:szCs w:val="21"/>
          <w:highlight w:val="none"/>
        </w:rPr>
      </w:r>
      <w:r/>
    </w:p>
    <w:p>
      <w:pPr>
        <w:ind w:firstLine="442"/>
        <w:spacing w:line="360" w:lineRule="auto"/>
        <w:rPr>
          <w:rFonts w:hint="eastAsia" w:ascii="宋体" w:hAnsi="宋体" w:eastAsia="宋体" w:cs="宋体"/>
          <w:b/>
          <w:color w:val="auto"/>
          <w:sz w:val="22"/>
          <w:szCs w:val="21"/>
          <w:highlight w:val="none"/>
        </w:rPr>
      </w:pPr>
      <w:r>
        <w:rPr>
          <w:rFonts w:hint="eastAsia" w:ascii="宋体" w:hAnsi="宋体" w:eastAsia="宋体" w:cs="宋体"/>
          <w:b/>
          <w:color w:val="auto"/>
          <w:sz w:val="22"/>
          <w:szCs w:val="21"/>
          <w:highlight w:val="none"/>
        </w:rPr>
      </w:r>
      <w:r/>
    </w:p>
    <w:p>
      <w:pPr>
        <w:ind w:firstLine="442"/>
        <w:spacing w:line="360" w:lineRule="auto"/>
        <w:rPr>
          <w:rFonts w:hint="eastAsia" w:ascii="宋体" w:hAnsi="宋体" w:eastAsia="宋体" w:cs="宋体"/>
          <w:b/>
          <w:color w:val="auto"/>
          <w:sz w:val="22"/>
          <w:szCs w:val="21"/>
          <w:highlight w:val="none"/>
        </w:rPr>
      </w:pPr>
      <w:r>
        <w:rPr>
          <w:rFonts w:hint="eastAsia" w:ascii="宋体" w:hAnsi="宋体" w:eastAsia="宋体" w:cs="宋体"/>
          <w:b/>
          <w:color w:val="auto"/>
          <w:sz w:val="22"/>
          <w:szCs w:val="21"/>
          <w:highlight w:val="none"/>
        </w:rPr>
      </w:r>
      <w:r/>
    </w:p>
    <w:p>
      <w:pPr>
        <w:ind w:firstLine="442"/>
        <w:spacing w:line="360" w:lineRule="auto"/>
        <w:rPr>
          <w:rFonts w:hint="eastAsia" w:ascii="宋体" w:hAnsi="宋体" w:eastAsia="宋体" w:cs="宋体"/>
          <w:b/>
          <w:color w:val="auto"/>
          <w:sz w:val="22"/>
          <w:szCs w:val="21"/>
          <w:highlight w:val="none"/>
        </w:rPr>
      </w:pPr>
      <w:r>
        <w:rPr>
          <w:rFonts w:hint="eastAsia" w:ascii="宋体" w:hAnsi="宋体" w:eastAsia="宋体" w:cs="宋体"/>
          <w:b/>
          <w:color w:val="auto"/>
          <w:sz w:val="22"/>
          <w:szCs w:val="21"/>
          <w:highlight w:val="none"/>
        </w:rPr>
      </w:r>
      <w:r/>
    </w:p>
    <w:p>
      <w:pPr>
        <w:ind w:firstLine="442"/>
        <w:spacing w:line="360" w:lineRule="auto"/>
        <w:rPr>
          <w:rFonts w:hint="eastAsia" w:ascii="宋体" w:hAnsi="宋体" w:eastAsia="宋体" w:cs="宋体"/>
          <w:b/>
          <w:color w:val="auto"/>
          <w:sz w:val="22"/>
          <w:szCs w:val="21"/>
          <w:highlight w:val="none"/>
        </w:rPr>
      </w:pPr>
      <w:r>
        <w:rPr>
          <w:rFonts w:hint="eastAsia" w:ascii="宋体" w:hAnsi="宋体" w:eastAsia="宋体" w:cs="宋体"/>
          <w:b/>
          <w:color w:val="auto"/>
          <w:sz w:val="22"/>
          <w:szCs w:val="21"/>
          <w:highlight w:val="none"/>
        </w:rPr>
      </w:r>
      <w:r/>
    </w:p>
    <w:p>
      <w:pPr>
        <w:ind w:firstLine="442"/>
        <w:spacing w:line="360" w:lineRule="auto"/>
        <w:rPr>
          <w:rFonts w:hint="eastAsia" w:ascii="宋体" w:hAnsi="宋体" w:eastAsia="宋体" w:cs="宋体"/>
          <w:b/>
          <w:color w:val="auto"/>
          <w:sz w:val="22"/>
          <w:szCs w:val="21"/>
          <w:highlight w:val="none"/>
        </w:rPr>
      </w:pPr>
      <w:r>
        <w:rPr>
          <w:rFonts w:hint="eastAsia" w:ascii="宋体" w:hAnsi="宋体" w:eastAsia="宋体" w:cs="宋体"/>
          <w:b/>
          <w:color w:val="auto"/>
          <w:sz w:val="22"/>
          <w:szCs w:val="21"/>
          <w:highlight w:val="none"/>
        </w:rPr>
      </w:r>
      <w:r/>
    </w:p>
    <w:p>
      <w:pPr>
        <w:ind w:firstLine="442"/>
        <w:spacing w:line="360" w:lineRule="auto"/>
        <w:rPr>
          <w:rFonts w:hint="eastAsia" w:ascii="宋体" w:hAnsi="宋体" w:eastAsia="宋体" w:cs="宋体"/>
          <w:b/>
          <w:color w:val="auto"/>
          <w:sz w:val="22"/>
          <w:szCs w:val="21"/>
          <w:highlight w:val="none"/>
        </w:rPr>
      </w:pPr>
      <w:r>
        <w:rPr>
          <w:rFonts w:hint="eastAsia" w:ascii="宋体" w:hAnsi="宋体" w:eastAsia="宋体" w:cs="宋体"/>
          <w:b/>
          <w:color w:val="auto"/>
          <w:sz w:val="22"/>
          <w:szCs w:val="21"/>
          <w:highlight w:val="none"/>
        </w:rPr>
      </w:r>
      <w:r/>
    </w:p>
    <w:p>
      <w:pPr>
        <w:spacing w:line="360" w:lineRule="auto"/>
        <w:rPr>
          <w:rFonts w:hint="eastAsia" w:ascii="宋体" w:hAnsi="宋体" w:eastAsia="宋体" w:cs="宋体"/>
          <w:b/>
          <w:color w:val="auto"/>
          <w:sz w:val="22"/>
          <w:szCs w:val="21"/>
          <w:highlight w:val="none"/>
        </w:rPr>
      </w:pPr>
      <w:r>
        <w:rPr>
          <w:rFonts w:hint="eastAsia" w:ascii="宋体" w:hAnsi="宋体" w:eastAsia="宋体" w:cs="宋体"/>
          <w:b/>
          <w:color w:val="auto"/>
          <w:sz w:val="22"/>
          <w:szCs w:val="21"/>
          <w:highlight w:val="none"/>
        </w:rPr>
      </w:r>
      <w:r/>
    </w:p>
    <w:p>
      <w:pPr>
        <w:ind w:firstLine="44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22"/>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填报说明：</w:t>
      </w:r>
      <w:r/>
    </w:p>
    <w:p>
      <w:pPr>
        <w:ind w:firstLine="422"/>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1、请供应商如实填写，所填内容将作为评审的依据。其内容填写须与报价明细表一致，如填写不完整或不一致，将不享受扶持政策。</w:t>
      </w:r>
      <w:r/>
    </w:p>
    <w:p>
      <w:pPr>
        <w:ind w:firstLine="422"/>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2、成交供应商的《残疾人福利性单位声明函》随成交结果公开。</w:t>
      </w:r>
      <w:r/>
    </w:p>
    <w:p>
      <w:pPr>
        <w:ind w:firstLine="422"/>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Cs w:val="21"/>
          <w:highlight w:val="none"/>
          <w:u w:val="single"/>
        </w:rPr>
        <w:br w:type="page" w:clear="all"/>
      </w:r>
      <w:r>
        <w:rPr>
          <w:rFonts w:hint="eastAsia" w:ascii="宋体" w:hAnsi="宋体" w:eastAsia="宋体" w:cs="宋体"/>
          <w:b/>
          <w:color w:val="auto"/>
          <w:sz w:val="32"/>
          <w:szCs w:val="32"/>
          <w:highlight w:val="none"/>
        </w:rPr>
        <w:t xml:space="preserve">五、资格证明文件</w:t>
      </w:r>
      <w:bookmarkEnd w:id="245"/>
      <w:r/>
      <w:bookmarkEnd w:id="246"/>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1、满足《中华人民共和国政府采购法》第二十二条规定，并提供下列材料：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（1）法人或者其他组织的营业执照等证明文件，自然人的身份证明；</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（2）具有良好的商业信誉和健全的财务会计制度；（按连财购〔2023〕4号文件要求，符合要求的提交《财务状况报告及税收、社会保障资金缴纳情况承诺函》，并上传至电子响应文件中，详见采购文件）；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（3）依法缴纳税收和社会保障资金的相关材料；（按连财购〔2023〕4号文件要求，符合要求的提交《财务状况报告及税收、社会保障资金缴纳情况承诺函》，并上传至电子响应文件中，详见采购文件）；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（4）具备履行合同所必需的设备和专业技术能力的声明及证明材料；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（5）参加政府采购活动前三年内在经营活动中没有重大违法记录的书面声明；</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在“信用中国”查询，供应商被列入失信被执行人、重大税收违法案件当事人名单、政府采购严重违法失信行为记录名单及具有其他不符合《中华人民共和国政府采购法》第二十二条规定情形的，拒绝其参与政府采购活动。（响应文件中无需提供证明材料。）</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法律、行政法规规定的其他条件。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落实政府采购政策需满足的资格要求：执行财政部、工业和信息化部关于印发《政府采购促进中小企业发展管理办法》的通知(财库[2020]46号)、苏财购[2022]45号，本项目专门面向中型企业、小型企业、微型企业、残疾人福利性单位、监狱企业进行采购，符合文件要求的供应商应提交《中小企业声明函》，并上传至电子响应文件中，具体详见磋商文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3、本项目的特定资格要求：</w:t>
      </w:r>
      <w:r>
        <w:rPr>
          <w:rFonts w:hint="eastAsia" w:ascii="宋体" w:hAnsi="宋体" w:eastAsia="宋体" w:cs="宋体"/>
          <w:color w:val="auto"/>
          <w:sz w:val="24"/>
          <w:highlight w:val="none"/>
          <w:lang w:val="en-US" w:eastAsia="zh-CN"/>
        </w:rPr>
        <w:t xml:space="preserve">无</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4、本项目的其他资格要求：供应商/投标主体及其法定代表人、项目负责人未被列入“连云港市赣榆区行贿人联合惩戒信息库。</w:t>
      </w:r>
      <w:r>
        <w:rPr>
          <w:rFonts w:hint="eastAsia" w:ascii="宋体" w:hAnsi="宋体" w:eastAsia="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eastAsia="zh-CN"/>
        </w:rPr>
        <w:t xml:space="preserve">备注:采购人/招标人和区公共资源交易中心通过赣榆区行贿人联合惩戒信息库，对供应商/投标主体情况进行内部查询，查询结果页面打印留存。</w:t>
      </w:r>
      <w:r/>
    </w:p>
    <w:p>
      <w:pPr>
        <w:ind w:firstLine="7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color w:val="auto"/>
          <w:sz w:val="24"/>
          <w:highlight w:val="none"/>
          <w:u w:val="single"/>
        </w:rPr>
        <w:br w:type="page" w:clear="all"/>
      </w:r>
      <w:r>
        <w:rPr>
          <w:rFonts w:hint="eastAsia" w:ascii="宋体" w:hAnsi="宋体" w:eastAsia="宋体" w:cs="宋体"/>
          <w:b/>
          <w:color w:val="auto"/>
          <w:sz w:val="32"/>
          <w:szCs w:val="32"/>
          <w:highlight w:val="none"/>
        </w:rPr>
        <w:t xml:space="preserve">财务状况报告及税收、社会保障资金</w:t>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b/>
          <w:color w:val="auto"/>
          <w:sz w:val="32"/>
          <w:szCs w:val="32"/>
          <w:highlight w:val="none"/>
        </w:rPr>
        <w:t xml:space="preserve">缴纳情况承诺函</w:t>
      </w:r>
      <w:r/>
    </w:p>
    <w:p>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u w:val="single"/>
        </w:rPr>
        <w:t xml:space="preserve">采购人名称</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我方</w:t>
      </w:r>
      <w:r>
        <w:rPr>
          <w:rFonts w:hint="eastAsia" w:ascii="宋体" w:hAnsi="宋体" w:eastAsia="宋体" w:cs="宋体"/>
          <w:color w:val="auto"/>
          <w:sz w:val="24"/>
          <w:highlight w:val="none"/>
          <w:u w:val="single"/>
        </w:rPr>
        <w:t xml:space="preserve">供应商名称</w:t>
      </w:r>
      <w:r>
        <w:rPr>
          <w:rFonts w:hint="eastAsia" w:ascii="宋体" w:hAnsi="宋体" w:eastAsia="宋体" w:cs="宋体"/>
          <w:color w:val="auto"/>
          <w:sz w:val="24"/>
          <w:highlight w:val="none"/>
        </w:rPr>
        <w:t xml:space="preserve">参加</w:t>
      </w:r>
      <w:r>
        <w:rPr>
          <w:rFonts w:hint="eastAsia" w:ascii="宋体" w:hAnsi="宋体" w:eastAsia="宋体" w:cs="宋体"/>
          <w:color w:val="auto"/>
          <w:sz w:val="24"/>
          <w:highlight w:val="none"/>
          <w:u w:val="single"/>
        </w:rPr>
        <w:t xml:space="preserve">项目名称</w:t>
      </w: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u w:val="single"/>
        </w:rPr>
        <w:t xml:space="preserve">项目编号</w:t>
      </w:r>
      <w:r>
        <w:rPr>
          <w:rFonts w:hint="eastAsia" w:ascii="宋体" w:hAnsi="宋体" w:eastAsia="宋体" w:cs="宋体"/>
          <w:color w:val="auto"/>
          <w:sz w:val="24"/>
          <w:highlight w:val="none"/>
        </w:rPr>
        <w:t xml:space="preserve">）采购，根据《</w:t>
      </w:r>
      <w:r>
        <w:rPr>
          <w:rStyle w:val="738"/>
          <w:rFonts w:hint="eastAsia" w:ascii="宋体" w:hAnsi="宋体" w:eastAsia="宋体" w:cs="宋体"/>
          <w:b w:val="0"/>
          <w:color w:val="auto"/>
          <w:sz w:val="24"/>
          <w:highlight w:val="none"/>
        </w:rPr>
        <w:t xml:space="preserve">关于简化政府采购供应商资格审查有关事项的通知</w:t>
      </w:r>
      <w:r>
        <w:rPr>
          <w:rFonts w:hint="eastAsia" w:ascii="宋体" w:hAnsi="宋体" w:eastAsia="宋体" w:cs="宋体"/>
          <w:color w:val="auto"/>
          <w:sz w:val="24"/>
          <w:highlight w:val="none"/>
        </w:rPr>
        <w:t xml:space="preserve">》（连财购〔2023〕4号），我方承诺具备《中华人民共和国政府采购法》第二十二条第（二）、第（四）项，《中华人民共和国政府采购法实施条例》第十七条第（二）项规定条件的，具体包括：</w:t>
      </w:r>
      <w:r/>
    </w:p>
    <w:p>
      <w:pPr>
        <w:ind w:left="360" w:firstLine="24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（1）具有良好的商业信誉和健全的财务会计制度（财务状况报告）；</w:t>
      </w:r>
      <w:r/>
    </w:p>
    <w:p>
      <w:pPr>
        <w:ind w:left="360" w:firstLine="24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（2）有依法缴纳税收和社会保障资金的良好记录。</w:t>
      </w:r>
      <w:r/>
    </w:p>
    <w:p>
      <w:pPr>
        <w:ind w:firstLine="480"/>
        <w:jc w:val="left"/>
        <w:spacing w:line="5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特此承诺</w:t>
      </w:r>
      <w:r/>
    </w:p>
    <w:p>
      <w:pPr>
        <w:ind w:left="360" w:firstLine="405"/>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360" w:firstLine="405"/>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360" w:firstLine="405"/>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供应商（公章）：          </w:t>
      </w:r>
      <w:r/>
    </w:p>
    <w:p>
      <w:pPr>
        <w:ind w:left="360" w:firstLine="405"/>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360" w:firstLine="405"/>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法定代表人或其委托代理人（签名或签章）：</w:t>
      </w:r>
      <w:r/>
    </w:p>
    <w:p>
      <w:pPr>
        <w:ind w:left="360" w:firstLine="405"/>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360" w:firstLine="405"/>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974"/>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974"/>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974"/>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具备履行合同所必需的设备和专业技术能力的声明</w:t>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及证明材料</w:t>
      </w:r>
      <w:r/>
    </w:p>
    <w:p>
      <w:pPr>
        <w:ind w:firstLine="49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92"/>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（供应商名称）</w:t>
      </w:r>
      <w:r>
        <w:rPr>
          <w:rFonts w:hint="eastAsia" w:ascii="宋体" w:hAnsi="宋体" w:eastAsia="宋体" w:cs="宋体"/>
          <w:color w:val="auto"/>
          <w:sz w:val="24"/>
          <w:highlight w:val="none"/>
        </w:rPr>
        <w:t xml:space="preserve">公司郑重声明：我单位具备履行本项采购合同所必需的设备和专业技术能力。</w:t>
      </w:r>
      <w:r/>
    </w:p>
    <w:p>
      <w:pPr>
        <w:ind w:firstLine="492"/>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主要设备有：。</w:t>
      </w:r>
      <w:r/>
    </w:p>
    <w:p>
      <w:pPr>
        <w:ind w:firstLine="492"/>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主要专业技术能力有：。</w:t>
      </w:r>
      <w:r/>
    </w:p>
    <w:p>
      <w:pPr>
        <w:ind w:firstLine="492"/>
        <w:spacing w:line="46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注：需提供证明材料。</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504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磋商供应商（公章）：</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                                          法定代表人或授权代表签字：</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日期：年月日</w:t>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color w:val="auto"/>
          <w:sz w:val="24"/>
          <w:highlight w:val="none"/>
          <w:u w:val="single"/>
        </w:rPr>
        <w:br w:type="page" w:clear="all"/>
      </w:r>
      <w:r>
        <w:rPr>
          <w:rFonts w:hint="eastAsia" w:ascii="宋体" w:hAnsi="宋体" w:eastAsia="宋体" w:cs="宋体"/>
          <w:b/>
          <w:color w:val="auto"/>
          <w:sz w:val="32"/>
          <w:szCs w:val="32"/>
          <w:highlight w:val="none"/>
        </w:rPr>
        <w:t xml:space="preserve">参加本采购活动前3年内在经营活动中没有重大违法</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b/>
          <w:color w:val="auto"/>
          <w:sz w:val="32"/>
          <w:szCs w:val="32"/>
          <w:highlight w:val="none"/>
        </w:rPr>
        <w:t xml:space="preserve">记录的书面声明</w:t>
      </w:r>
      <w:r/>
    </w:p>
    <w:p>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我公司郑重声明：参加本次采购活动前3年内，我公司在经营活动中没有因违法经营受到刑事处罚或者责令停产停业、吊销许可证或者执照、较大数额罚款等行政处罚。</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504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磋商供应商（公章）：</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                                          法定代表人或授权代表签字：</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日期：年月日</w:t>
      </w:r>
      <w:r/>
    </w:p>
    <w:p>
      <w:pPr>
        <w:jc w:val="left"/>
        <w:spacing w:before="50"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jc w:val="left"/>
        <w:spacing w:before="50" w:line="360" w:lineRule="auto"/>
        <w:rPr>
          <w:rFonts w:hint="eastAsia" w:ascii="宋体" w:hAnsi="宋体" w:eastAsia="宋体" w:cs="宋体"/>
          <w:b/>
          <w:bCs/>
          <w:color w:val="auto"/>
          <w:sz w:val="24"/>
          <w:highlight w:val="none"/>
          <w:u w:val="single"/>
        </w:rPr>
      </w:pPr>
      <w:r>
        <w:rPr>
          <w:rFonts w:hint="eastAsia" w:ascii="宋体" w:hAnsi="宋体" w:eastAsia="宋体" w:cs="宋体"/>
          <w:b/>
          <w:bCs/>
          <w:color w:val="auto"/>
          <w:sz w:val="24"/>
          <w:highlight w:val="none"/>
          <w:u w:val="single"/>
        </w:rPr>
      </w:r>
      <w:r/>
    </w:p>
    <w:p>
      <w:pPr>
        <w:ind w:firstLine="480"/>
        <w:jc w:val="left"/>
        <w:spacing w:before="50" w:line="360" w:lineRule="auto"/>
        <w:rPr>
          <w:rFonts w:hint="eastAsia" w:ascii="宋体" w:hAnsi="宋体" w:eastAsia="宋体" w:cs="宋体"/>
          <w:b/>
          <w:bCs/>
          <w:i/>
          <w:color w:val="auto"/>
          <w:sz w:val="24"/>
          <w:highlight w:val="none"/>
          <w:u w:val="single"/>
        </w:rPr>
      </w:pPr>
      <w:r>
        <w:rPr>
          <w:rFonts w:hint="eastAsia" w:ascii="宋体" w:hAnsi="宋体" w:eastAsia="宋体" w:cs="宋体"/>
          <w:b/>
          <w:bCs/>
          <w:i/>
          <w:color w:val="auto"/>
          <w:sz w:val="24"/>
          <w:highlight w:val="none"/>
          <w:u w:val="single"/>
        </w:rPr>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977"/>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974"/>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bCs/>
          <w:color w:val="auto"/>
          <w:sz w:val="32"/>
          <w:szCs w:val="32"/>
          <w:highlight w:val="none"/>
        </w:rPr>
      </w:pPr>
      <w:r/>
      <w:bookmarkStart w:id="247" w:name="_Toc91256337"/>
      <w:r/>
      <w:bookmarkStart w:id="248" w:name="_Toc91183849"/>
      <w:r/>
      <w:r/>
    </w:p>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六、法定代表人授权委托书</w:t>
      </w:r>
      <w:bookmarkEnd w:id="247"/>
      <w:bookmarkEnd w:id="248"/>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711"/>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u w:val="single"/>
        </w:rPr>
        <w:t xml:space="preserve">【采购人】：            </w:t>
      </w:r>
      <w:r/>
    </w:p>
    <w:p>
      <w:pPr>
        <w:pStyle w:val="71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本授权书声明：注册于</w:t>
      </w:r>
      <w:r>
        <w:rPr>
          <w:rFonts w:hint="eastAsia" w:ascii="宋体" w:hAnsi="宋体" w:eastAsia="宋体" w:cs="宋体"/>
          <w:color w:val="auto"/>
          <w:sz w:val="24"/>
          <w:szCs w:val="24"/>
          <w:highlight w:val="none"/>
          <w:u w:val="single"/>
        </w:rPr>
        <w:t xml:space="preserve">  （委托单位全称） </w:t>
      </w:r>
      <w:r>
        <w:rPr>
          <w:rFonts w:hint="eastAsia" w:ascii="宋体" w:hAnsi="宋体" w:eastAsia="宋体" w:cs="宋体"/>
          <w:color w:val="auto"/>
          <w:sz w:val="24"/>
          <w:szCs w:val="24"/>
          <w:highlight w:val="none"/>
        </w:rPr>
        <w:t xml:space="preserve">的法定代表人代表本公司授权</w:t>
      </w:r>
      <w:r>
        <w:rPr>
          <w:rFonts w:hint="eastAsia" w:ascii="宋体" w:hAnsi="宋体" w:eastAsia="宋体" w:cs="宋体"/>
          <w:color w:val="auto"/>
          <w:sz w:val="24"/>
          <w:szCs w:val="24"/>
          <w:highlight w:val="none"/>
          <w:u w:val="single"/>
        </w:rPr>
        <w:t xml:space="preserve">（姓名和职务）</w:t>
      </w:r>
      <w:r>
        <w:rPr>
          <w:rFonts w:hint="eastAsia" w:ascii="宋体" w:hAnsi="宋体" w:eastAsia="宋体" w:cs="宋体"/>
          <w:color w:val="auto"/>
          <w:sz w:val="24"/>
          <w:szCs w:val="24"/>
          <w:highlight w:val="none"/>
        </w:rPr>
        <w:t xml:space="preserve">为本公司合法代理人，就贵方组织的有关</w:t>
      </w:r>
      <w:r>
        <w:rPr>
          <w:rFonts w:hint="eastAsia" w:ascii="宋体" w:hAnsi="宋体" w:eastAsia="宋体" w:cs="宋体"/>
          <w:color w:val="auto"/>
          <w:sz w:val="24"/>
          <w:szCs w:val="24"/>
          <w:highlight w:val="none"/>
          <w:u w:val="single"/>
        </w:rPr>
        <w:t xml:space="preserve">【标段名称】</w:t>
      </w:r>
      <w:r>
        <w:rPr>
          <w:rFonts w:hint="eastAsia" w:ascii="宋体" w:hAnsi="宋体" w:eastAsia="宋体" w:cs="宋体"/>
          <w:color w:val="auto"/>
          <w:sz w:val="24"/>
          <w:szCs w:val="24"/>
          <w:highlight w:val="none"/>
        </w:rPr>
        <w:t xml:space="preserve">项目（标段编号：</w:t>
      </w:r>
      <w:r>
        <w:rPr>
          <w:rFonts w:hint="eastAsia" w:ascii="宋体" w:hAnsi="宋体" w:eastAsia="宋体" w:cs="宋体"/>
          <w:color w:val="auto"/>
          <w:sz w:val="24"/>
          <w:szCs w:val="24"/>
          <w:highlight w:val="none"/>
          <w:u w:val="single"/>
        </w:rPr>
        <w:t xml:space="preserve">【标段编号】</w:t>
      </w:r>
      <w:r>
        <w:rPr>
          <w:rFonts w:hint="eastAsia" w:ascii="宋体" w:hAnsi="宋体" w:eastAsia="宋体" w:cs="宋体"/>
          <w:color w:val="auto"/>
          <w:sz w:val="24"/>
          <w:szCs w:val="24"/>
          <w:highlight w:val="none"/>
        </w:rPr>
        <w:t xml:space="preserve">）的磋商采购及合同签订、执行、完成，以本单位名义处理一切与之有关的事务。</w:t>
      </w:r>
      <w:r/>
    </w:p>
    <w:p>
      <w:pPr>
        <w:pStyle w:val="71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本授权书于年月日签字（或盖章）生效，特此声明。</w:t>
      </w:r>
      <w:r/>
    </w:p>
    <w:p>
      <w:pPr>
        <w:pStyle w:val="71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委托单位（盖章）：                      </w:t>
      </w:r>
      <w:r/>
    </w:p>
    <w:p>
      <w:pPr>
        <w:pStyle w:val="71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w:t>
      </w:r>
      <w:r/>
    </w:p>
    <w:p>
      <w:pPr>
        <w:pStyle w:val="71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签发日期：年月日</w:t>
      </w:r>
      <w:r/>
    </w:p>
    <w:p>
      <w:pPr>
        <w:pStyle w:val="711"/>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附法定代表人与委托代理人身份证正反面原件扫描件。</w:t>
      </w:r>
      <w:r/>
    </w:p>
    <w:p>
      <w:pPr>
        <w:pStyle w:val="71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1"/>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711"/>
        <w:ind w:firstLine="422"/>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说明：</w:t>
      </w:r>
      <w:r/>
    </w:p>
    <w:p>
      <w:pPr>
        <w:pStyle w:val="711"/>
        <w:ind w:firstLine="422"/>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1．委托书内容填写应当明确、文字工整清楚，涂改无效。</w:t>
      </w:r>
      <w:r/>
    </w:p>
    <w:p>
      <w:pPr>
        <w:pStyle w:val="711"/>
        <w:ind w:firstLine="422"/>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2．委托书不得转借、转让、买卖。</w:t>
      </w:r>
      <w:r/>
    </w:p>
    <w:p>
      <w:pPr>
        <w:pStyle w:val="711"/>
        <w:ind w:firstLine="422"/>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3．委托代理人根据授权范围，以委托单位的名义签订合同，并将此委托书提交给采购单位作为合同附件。</w:t>
      </w:r>
      <w:r/>
    </w:p>
    <w:p>
      <w:pPr>
        <w:jc w:val="center"/>
        <w:rPr>
          <w:rFonts w:hint="eastAsia" w:ascii="宋体" w:hAnsi="宋体" w:eastAsia="宋体" w:cs="宋体"/>
          <w:b/>
          <w:color w:val="auto"/>
          <w:sz w:val="32"/>
          <w:szCs w:val="32"/>
          <w:highlight w:val="none"/>
        </w:rPr>
      </w:pPr>
      <w:r>
        <w:rPr>
          <w:rFonts w:hint="eastAsia" w:ascii="宋体" w:hAnsi="宋体" w:eastAsia="宋体" w:cs="宋体"/>
          <w:b/>
          <w:bCs/>
          <w:color w:val="auto"/>
          <w:szCs w:val="21"/>
          <w:highlight w:val="none"/>
        </w:rPr>
        <w:br w:type="page" w:clear="all"/>
      </w:r>
      <w:r>
        <w:rPr>
          <w:rFonts w:hint="eastAsia" w:ascii="宋体" w:hAnsi="宋体" w:eastAsia="宋体" w:cs="宋体"/>
          <w:b/>
          <w:bCs/>
          <w:color w:val="auto"/>
          <w:sz w:val="32"/>
          <w:szCs w:val="32"/>
          <w:highlight w:val="none"/>
        </w:rPr>
        <w:t xml:space="preserve">七、</w:t>
      </w:r>
      <w:r>
        <w:rPr>
          <w:rFonts w:hint="eastAsia" w:ascii="宋体" w:hAnsi="宋体" w:eastAsia="宋体" w:cs="宋体"/>
          <w:b/>
          <w:color w:val="auto"/>
          <w:sz w:val="32"/>
          <w:szCs w:val="32"/>
          <w:highlight w:val="none"/>
        </w:rPr>
        <w:t xml:space="preserve">商务条款偏离表</w:t>
      </w:r>
      <w:r/>
    </w:p>
    <w:p>
      <w:pPr>
        <w:pStyle w:val="687"/>
        <w:rPr>
          <w:rFonts w:hint="eastAsia" w:ascii="宋体" w:hAnsi="宋体" w:eastAsia="宋体" w:cs="宋体"/>
          <w:color w:val="auto"/>
          <w:sz w:val="13"/>
          <w:szCs w:val="13"/>
          <w:highlight w:val="none"/>
        </w:rPr>
      </w:pPr>
      <w:r>
        <w:rPr>
          <w:rFonts w:hint="eastAsia" w:ascii="宋体" w:hAnsi="宋体" w:eastAsia="宋体" w:cs="宋体"/>
          <w:color w:val="auto"/>
          <w:sz w:val="13"/>
          <w:szCs w:val="13"/>
          <w:highlight w:val="none"/>
        </w:rPr>
      </w:r>
      <w:r/>
    </w:p>
    <w:p>
      <w:pPr>
        <w:pStyle w:val="711"/>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请</w:t>
      </w:r>
      <w:r>
        <w:rPr>
          <w:rFonts w:hint="eastAsia" w:ascii="宋体" w:hAnsi="宋体" w:eastAsia="宋体" w:cs="宋体"/>
          <w:b/>
          <w:bCs/>
          <w:color w:val="auto"/>
          <w:sz w:val="24"/>
          <w:szCs w:val="24"/>
          <w:highlight w:val="none"/>
        </w:rPr>
        <w:t xml:space="preserve">逐条对应</w:t>
      </w:r>
      <w:r>
        <w:rPr>
          <w:rFonts w:hint="eastAsia" w:ascii="宋体" w:hAnsi="宋体" w:eastAsia="宋体" w:cs="宋体"/>
          <w:color w:val="auto"/>
          <w:sz w:val="24"/>
          <w:szCs w:val="24"/>
          <w:highlight w:val="none"/>
        </w:rPr>
        <w:t xml:space="preserve">磋商文件“项目需求”等内容要求的商务条件，填写该表。</w:t>
      </w:r>
      <w:r/>
    </w:p>
    <w:tbl>
      <w:tblPr>
        <w:tblStyle w:val="69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7"/>
        <w:gridCol w:w="3254"/>
        <w:gridCol w:w="3254"/>
        <w:gridCol w:w="2228"/>
      </w:tblGrid>
      <w:tr>
        <w:trPr>
          <w:jc w:val="center"/>
          <w:trHeight w:val="614"/>
        </w:trPr>
        <w:tc>
          <w:tcPr>
            <w:tcW w:w="927" w:type="dxa"/>
            <w:vAlign w:val="center"/>
            <w:textDirection w:val="lrTb"/>
            <w:noWrap/>
          </w:tcPr>
          <w:p>
            <w:pPr>
              <w:pStyle w:val="711"/>
              <w:jc w:val="center"/>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项号</w:t>
            </w:r>
            <w:r/>
          </w:p>
        </w:tc>
        <w:tc>
          <w:tcPr>
            <w:tcW w:w="3254" w:type="dxa"/>
            <w:vAlign w:val="center"/>
            <w:textDirection w:val="lrTb"/>
            <w:noWrap/>
          </w:tcPr>
          <w:p>
            <w:pPr>
              <w:pStyle w:val="711"/>
              <w:jc w:val="center"/>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磋商文件的商务条款</w:t>
            </w:r>
            <w:r/>
          </w:p>
        </w:tc>
        <w:tc>
          <w:tcPr>
            <w:tcW w:w="3254" w:type="dxa"/>
            <w:vAlign w:val="center"/>
            <w:textDirection w:val="lrTb"/>
            <w:noWrap/>
          </w:tcPr>
          <w:p>
            <w:pPr>
              <w:pStyle w:val="711"/>
              <w:jc w:val="center"/>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响应文件的商务条款</w:t>
            </w:r>
            <w:r/>
          </w:p>
        </w:tc>
        <w:tc>
          <w:tcPr>
            <w:tcW w:w="2228" w:type="dxa"/>
            <w:vAlign w:val="center"/>
            <w:textDirection w:val="lrTb"/>
            <w:noWrap/>
          </w:tcPr>
          <w:p>
            <w:pPr>
              <w:pStyle w:val="711"/>
              <w:jc w:val="center"/>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偏离说明</w:t>
            </w:r>
            <w:r/>
          </w:p>
        </w:tc>
      </w:tr>
      <w:tr>
        <w:trPr>
          <w:jc w:val="center"/>
          <w:trHeight w:val="614"/>
        </w:trPr>
        <w:tc>
          <w:tcPr>
            <w:tcW w:w="927" w:type="dxa"/>
            <w:textDirection w:val="lrTb"/>
            <w:noWrap/>
          </w:tcPr>
          <w:p>
            <w:pPr>
              <w:pStyle w:val="711"/>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tcPr>
          <w:p>
            <w:pPr>
              <w:pStyle w:val="711"/>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tcPr>
          <w:p>
            <w:pPr>
              <w:pStyle w:val="711"/>
              <w:spacing w:line="60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W w:w="2228" w:type="dxa"/>
            <w:textDirection w:val="lrTb"/>
            <w:noWrap/>
          </w:tcPr>
          <w:p>
            <w:pPr>
              <w:pStyle w:val="711"/>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14"/>
        </w:trPr>
        <w:tc>
          <w:tcPr>
            <w:tcW w:w="927" w:type="dxa"/>
            <w:textDirection w:val="lrTb"/>
            <w:noWrap/>
          </w:tcPr>
          <w:p>
            <w:pPr>
              <w:pStyle w:val="711"/>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tcPr>
          <w:p>
            <w:pPr>
              <w:pStyle w:val="711"/>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tcPr>
          <w:p>
            <w:pPr>
              <w:pStyle w:val="711"/>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28" w:type="dxa"/>
            <w:textDirection w:val="lrTb"/>
            <w:noWrap/>
          </w:tcPr>
          <w:p>
            <w:pPr>
              <w:pStyle w:val="711"/>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03"/>
        </w:trPr>
        <w:tc>
          <w:tcPr>
            <w:tcW w:w="927" w:type="dxa"/>
            <w:textDirection w:val="lrTb"/>
            <w:noWrap/>
          </w:tcPr>
          <w:p>
            <w:pPr>
              <w:pStyle w:val="711"/>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tcPr>
          <w:p>
            <w:pPr>
              <w:pStyle w:val="711"/>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tcPr>
          <w:p>
            <w:pPr>
              <w:pStyle w:val="711"/>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28" w:type="dxa"/>
            <w:textDirection w:val="lrTb"/>
            <w:noWrap/>
          </w:tcPr>
          <w:p>
            <w:pPr>
              <w:pStyle w:val="711"/>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14"/>
        </w:trPr>
        <w:tc>
          <w:tcPr>
            <w:tcW w:w="927" w:type="dxa"/>
            <w:textDirection w:val="lrTb"/>
            <w:noWrap/>
          </w:tcPr>
          <w:p>
            <w:pPr>
              <w:pStyle w:val="711"/>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tcPr>
          <w:p>
            <w:pPr>
              <w:pStyle w:val="711"/>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tcPr>
          <w:p>
            <w:pPr>
              <w:pStyle w:val="711"/>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28" w:type="dxa"/>
            <w:textDirection w:val="lrTb"/>
            <w:noWrap/>
          </w:tcPr>
          <w:p>
            <w:pPr>
              <w:pStyle w:val="711"/>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14"/>
        </w:trPr>
        <w:tc>
          <w:tcPr>
            <w:tcW w:w="927" w:type="dxa"/>
            <w:textDirection w:val="lrTb"/>
            <w:noWrap/>
          </w:tcPr>
          <w:p>
            <w:pPr>
              <w:pStyle w:val="711"/>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tcPr>
          <w:p>
            <w:pPr>
              <w:pStyle w:val="711"/>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tcPr>
          <w:p>
            <w:pPr>
              <w:pStyle w:val="711"/>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28" w:type="dxa"/>
            <w:textDirection w:val="lrTb"/>
            <w:noWrap/>
          </w:tcPr>
          <w:p>
            <w:pPr>
              <w:pStyle w:val="711"/>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14"/>
        </w:trPr>
        <w:tc>
          <w:tcPr>
            <w:tcW w:w="927" w:type="dxa"/>
            <w:textDirection w:val="lrTb"/>
            <w:noWrap/>
          </w:tcPr>
          <w:p>
            <w:pPr>
              <w:pStyle w:val="711"/>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tcPr>
          <w:p>
            <w:pPr>
              <w:pStyle w:val="711"/>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tcPr>
          <w:p>
            <w:pPr>
              <w:pStyle w:val="711"/>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28" w:type="dxa"/>
            <w:textDirection w:val="lrTb"/>
            <w:noWrap/>
          </w:tcPr>
          <w:p>
            <w:pPr>
              <w:pStyle w:val="711"/>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14"/>
        </w:trPr>
        <w:tc>
          <w:tcPr>
            <w:tcW w:w="927" w:type="dxa"/>
            <w:textDirection w:val="lrTb"/>
            <w:noWrap/>
          </w:tcPr>
          <w:p>
            <w:pPr>
              <w:pStyle w:val="711"/>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tcPr>
          <w:p>
            <w:pPr>
              <w:pStyle w:val="711"/>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tcPr>
          <w:p>
            <w:pPr>
              <w:pStyle w:val="711"/>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28" w:type="dxa"/>
            <w:textDirection w:val="lrTb"/>
            <w:noWrap/>
          </w:tcPr>
          <w:p>
            <w:pPr>
              <w:pStyle w:val="711"/>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14"/>
        </w:trPr>
        <w:tc>
          <w:tcPr>
            <w:tcW w:w="927" w:type="dxa"/>
            <w:textDirection w:val="lrTb"/>
            <w:noWrap/>
          </w:tcPr>
          <w:p>
            <w:pPr>
              <w:pStyle w:val="711"/>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tcPr>
          <w:p>
            <w:pPr>
              <w:pStyle w:val="711"/>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tcPr>
          <w:p>
            <w:pPr>
              <w:pStyle w:val="711"/>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28" w:type="dxa"/>
            <w:textDirection w:val="lrTb"/>
            <w:noWrap/>
          </w:tcPr>
          <w:p>
            <w:pPr>
              <w:pStyle w:val="711"/>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14"/>
        </w:trPr>
        <w:tc>
          <w:tcPr>
            <w:tcW w:w="927" w:type="dxa"/>
            <w:textDirection w:val="lrTb"/>
            <w:noWrap/>
          </w:tcPr>
          <w:p>
            <w:pPr>
              <w:pStyle w:val="711"/>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tcPr>
          <w:p>
            <w:pPr>
              <w:pStyle w:val="711"/>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tcPr>
          <w:p>
            <w:pPr>
              <w:pStyle w:val="711"/>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28" w:type="dxa"/>
            <w:textDirection w:val="lrTb"/>
            <w:noWrap/>
          </w:tcPr>
          <w:p>
            <w:pPr>
              <w:pStyle w:val="711"/>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26"/>
        </w:trPr>
        <w:tc>
          <w:tcPr>
            <w:tcW w:w="927" w:type="dxa"/>
            <w:textDirection w:val="lrTb"/>
            <w:noWrap/>
          </w:tcPr>
          <w:p>
            <w:pPr>
              <w:pStyle w:val="711"/>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tcPr>
          <w:p>
            <w:pPr>
              <w:pStyle w:val="711"/>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tcPr>
          <w:p>
            <w:pPr>
              <w:pStyle w:val="711"/>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28" w:type="dxa"/>
            <w:textDirection w:val="lrTb"/>
            <w:noWrap/>
          </w:tcPr>
          <w:p>
            <w:pPr>
              <w:pStyle w:val="711"/>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pStyle w:val="711"/>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注：“偏离说明”填写“正偏离”“负偏离”或“无偏离”。</w:t>
      </w:r>
      <w:r/>
    </w:p>
    <w:p>
      <w:pPr>
        <w:pStyle w:val="711"/>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040"/>
        <w:spacing w:line="560" w:lineRule="exact"/>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供应商（公章）：</w:t>
      </w:r>
      <w:r/>
    </w:p>
    <w:p>
      <w:pPr>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法定代表人或授权代表签字：______</w:t>
      </w:r>
      <w:r/>
    </w:p>
    <w:p>
      <w:pPr>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日期：______年月日</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3233"/>
        <w:spacing w:line="360" w:lineRule="auto"/>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rPr>
      </w:r>
      <w:r/>
    </w:p>
    <w:p>
      <w:pPr>
        <w:pStyle w:val="703"/>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233"/>
        <w:spacing w:line="360" w:lineRule="auto"/>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rPr>
      </w:r>
      <w:r/>
    </w:p>
    <w:p>
      <w:pPr>
        <w:pStyle w:val="687"/>
        <w:rPr>
          <w:rFonts w:hint="eastAsia" w:ascii="宋体" w:hAnsi="宋体" w:eastAsia="宋体" w:cs="宋体"/>
          <w:bCs/>
          <w:color w:val="auto"/>
          <w:highlight w:val="none"/>
        </w:rPr>
      </w:pPr>
      <w:r>
        <w:rPr>
          <w:rFonts w:hint="eastAsia" w:ascii="宋体" w:hAnsi="宋体" w:eastAsia="宋体" w:cs="宋体"/>
          <w:bCs/>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numPr>
          <w:ilvl w:val="0"/>
          <w:numId w:val="10"/>
        </w:numPr>
        <w:jc w:val="center"/>
        <w:spacing w:line="360" w:lineRule="auto"/>
        <w:rPr>
          <w:rFonts w:hint="eastAsia" w:ascii="宋体" w:hAnsi="宋体" w:eastAsia="宋体" w:cs="宋体"/>
          <w:b/>
          <w:bCs/>
          <w:color w:val="auto"/>
          <w:sz w:val="32"/>
          <w:szCs w:val="32"/>
          <w:highlight w:val="none"/>
        </w:rPr>
        <w:outlineLvl w:val="0"/>
      </w:pPr>
      <w:r/>
      <w:bookmarkStart w:id="249" w:name="_Toc25888"/>
      <w:r/>
      <w:bookmarkStart w:id="250" w:name="_Toc3470"/>
      <w:r/>
      <w:bookmarkStart w:id="251" w:name="_Toc32188"/>
      <w:r>
        <w:rPr>
          <w:rFonts w:hint="eastAsia" w:ascii="宋体" w:hAnsi="宋体" w:eastAsia="宋体" w:cs="宋体"/>
          <w:b/>
          <w:bCs/>
          <w:color w:val="auto"/>
          <w:sz w:val="32"/>
          <w:szCs w:val="32"/>
          <w:highlight w:val="none"/>
        </w:rPr>
        <w:t xml:space="preserve">类似项目供货业绩一览表</w:t>
      </w:r>
      <w:bookmarkEnd w:id="249"/>
      <w:r/>
      <w:bookmarkEnd w:id="250"/>
      <w:r/>
      <w:bookmarkEnd w:id="251"/>
      <w:r/>
      <w:r/>
    </w:p>
    <w:p>
      <w:pPr>
        <w:pStyle w:val="974"/>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697"/>
        <w:tblW w:w="95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89"/>
        <w:gridCol w:w="1695"/>
        <w:gridCol w:w="1515"/>
        <w:gridCol w:w="1840"/>
        <w:gridCol w:w="3060"/>
        <w:gridCol w:w="635"/>
      </w:tblGrid>
      <w:tr>
        <w:trPr>
          <w:jc w:val="center"/>
          <w:trHeight w:val="753"/>
        </w:trPr>
        <w:tc>
          <w:tcPr>
            <w:tcW w:w="789"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W w:w="1695"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合同名称</w:t>
            </w:r>
            <w:r/>
          </w:p>
        </w:tc>
        <w:tc>
          <w:tcPr>
            <w:tcW w:w="1515"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签订时间</w:t>
            </w:r>
            <w:r/>
          </w:p>
        </w:tc>
        <w:tc>
          <w:tcPr>
            <w:tcW w:w="1840"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采购单位名称</w:t>
            </w:r>
            <w:r/>
          </w:p>
        </w:tc>
        <w:tc>
          <w:tcPr>
            <w:tcW w:w="3060"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采购单位联系人及电话</w:t>
            </w:r>
            <w:r/>
          </w:p>
        </w:tc>
        <w:tc>
          <w:tcPr>
            <w:tcW w:w="635"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jc w:val="center"/>
          <w:trHeight w:val="753"/>
        </w:trPr>
        <w:tc>
          <w:tcPr>
            <w:tcW w:w="789"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95"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15"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0"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060"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35"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53"/>
        </w:trPr>
        <w:tc>
          <w:tcPr>
            <w:tcW w:w="789"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95"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15"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0"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060"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35"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53"/>
        </w:trPr>
        <w:tc>
          <w:tcPr>
            <w:tcW w:w="789"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95"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15"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0"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060"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35"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53"/>
        </w:trPr>
        <w:tc>
          <w:tcPr>
            <w:tcW w:w="789"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95"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15"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0"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060"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35"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53"/>
        </w:trPr>
        <w:tc>
          <w:tcPr>
            <w:tcW w:w="789"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95"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15"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0"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060"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35"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53"/>
        </w:trPr>
        <w:tc>
          <w:tcPr>
            <w:tcW w:w="789"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95"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15"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0"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060"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35"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53"/>
        </w:trPr>
        <w:tc>
          <w:tcPr>
            <w:tcW w:w="789"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95"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15"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0"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060"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35"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53"/>
        </w:trPr>
        <w:tc>
          <w:tcPr>
            <w:tcW w:w="789"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95"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15"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0"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060"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35"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53"/>
        </w:trPr>
        <w:tc>
          <w:tcPr>
            <w:tcW w:w="789"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95"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15"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0"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060"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35"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72"/>
        </w:trPr>
        <w:tc>
          <w:tcPr>
            <w:tcW w:w="789"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95"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15"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0"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060"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35"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后附：按评分标准要求提供类似合同供货业绩，表格不够自行添加。</w:t>
      </w:r>
      <w:r/>
    </w:p>
    <w:p>
      <w:pPr>
        <w:ind w:firstLine="504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504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504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磋商供应商（公章）：</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                                          法定代表人或授权代表签字：</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日期：年月日</w:t>
      </w:r>
      <w:r/>
    </w:p>
    <w:p>
      <w:pPr>
        <w:jc w:val="cente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pStyle w:val="703"/>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jc w:val="center"/>
        <w:spacing w:line="360" w:lineRule="auto"/>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jc w:val="center"/>
        <w:spacing w:line="360" w:lineRule="auto"/>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t xml:space="preserve">九、技术规格偏离表</w:t>
      </w:r>
      <w:r/>
    </w:p>
    <w:p>
      <w:pPr>
        <w:pStyle w:val="711"/>
        <w:ind w:firstLine="480"/>
        <w:jc w:val="left"/>
        <w:spacing w:line="360" w:lineRule="auto"/>
        <w:rPr>
          <w:rFonts w:hint="eastAsia" w:ascii="宋体" w:hAnsi="宋体" w:eastAsia="宋体" w:cs="宋体"/>
          <w:b/>
          <w:color w:val="auto"/>
          <w:sz w:val="36"/>
          <w:szCs w:val="28"/>
          <w:highlight w:val="none"/>
        </w:rPr>
      </w:pPr>
      <w:r>
        <w:rPr>
          <w:rFonts w:hint="eastAsia" w:ascii="宋体" w:hAnsi="宋体" w:eastAsia="宋体" w:cs="宋体"/>
          <w:color w:val="auto"/>
          <w:sz w:val="24"/>
          <w:szCs w:val="24"/>
          <w:highlight w:val="none"/>
        </w:rPr>
        <w:t xml:space="preserve">请按所投产品的实际技术参数，逐条对应磋商文件的“项目需求”中要求的技术规范认真填写该表。</w:t>
      </w:r>
      <w:r/>
    </w:p>
    <w:tbl>
      <w:tblPr>
        <w:tblStyle w:val="697"/>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06"/>
        <w:gridCol w:w="3569"/>
        <w:gridCol w:w="3569"/>
        <w:gridCol w:w="1408"/>
      </w:tblGrid>
      <w:tr>
        <w:trPr>
          <w:cantSplit/>
          <w:trHeight w:val="1062"/>
        </w:trPr>
        <w:tc>
          <w:tcPr>
            <w:tcW w:w="706" w:type="pct"/>
            <w:vAlign w:val="center"/>
            <w:textDirection w:val="lrTb"/>
            <w:noWrap/>
          </w:tcPr>
          <w:p>
            <w:pPr>
              <w:pStyle w:val="711"/>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货物名称</w:t>
            </w:r>
            <w:r/>
          </w:p>
        </w:tc>
        <w:tc>
          <w:tcPr>
            <w:tcW w:w="1792" w:type="pct"/>
            <w:vAlign w:val="center"/>
            <w:textDirection w:val="lrTb"/>
            <w:noWrap/>
          </w:tcPr>
          <w:p>
            <w:pPr>
              <w:pStyle w:val="711"/>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磋商文件技术参数要求</w:t>
            </w:r>
            <w:r/>
          </w:p>
        </w:tc>
        <w:tc>
          <w:tcPr>
            <w:tcW w:w="1792"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响应文件技术参数响应</w:t>
            </w:r>
            <w:r/>
          </w:p>
        </w:tc>
        <w:tc>
          <w:tcPr>
            <w:tcW w:w="707"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偏离说明</w:t>
            </w:r>
            <w:r/>
          </w:p>
        </w:tc>
      </w:tr>
      <w:tr>
        <w:trPr/>
        <w:tc>
          <w:tcPr>
            <w:tcW w:w="706" w:type="pct"/>
            <w:vAlign w:val="center"/>
            <w:textDirection w:val="lrTb"/>
            <w:noWrap/>
          </w:tcPr>
          <w:p>
            <w:pPr>
              <w:pStyle w:val="711"/>
              <w:ind w:firstLine="360"/>
              <w:jc w:val="center"/>
              <w:spacing w:line="6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792" w:type="pct"/>
            <w:vAlign w:val="center"/>
            <w:textDirection w:val="lrTb"/>
            <w:noWrap/>
          </w:tcPr>
          <w:p>
            <w:pPr>
              <w:pStyle w:val="711"/>
              <w:ind w:firstLine="36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792" w:type="pct"/>
            <w:vAlign w:val="center"/>
            <w:textDirection w:val="lrTb"/>
            <w:noWrap/>
          </w:tcPr>
          <w:p>
            <w:pPr>
              <w:pStyle w:val="711"/>
              <w:ind w:firstLine="360"/>
              <w:jc w:val="center"/>
              <w:spacing w:line="6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707" w:type="pct"/>
            <w:vAlign w:val="center"/>
            <w:textDirection w:val="lrTb"/>
            <w:noWrap/>
          </w:tcPr>
          <w:p>
            <w:pPr>
              <w:pStyle w:val="711"/>
              <w:ind w:firstLine="360"/>
              <w:jc w:val="center"/>
              <w:spacing w:line="6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c>
          <w:tcPr>
            <w:tcW w:w="706" w:type="pct"/>
            <w:vAlign w:val="center"/>
            <w:textDirection w:val="lrTb"/>
            <w:noWrap/>
          </w:tcPr>
          <w:p>
            <w:pPr>
              <w:pStyle w:val="711"/>
              <w:ind w:firstLine="360"/>
              <w:jc w:val="center"/>
              <w:spacing w:line="6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792" w:type="pct"/>
            <w:vAlign w:val="center"/>
            <w:textDirection w:val="lrTb"/>
            <w:noWrap/>
          </w:tcPr>
          <w:p>
            <w:pPr>
              <w:pStyle w:val="711"/>
              <w:ind w:firstLine="36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792" w:type="pct"/>
            <w:vAlign w:val="center"/>
            <w:textDirection w:val="lrTb"/>
            <w:noWrap/>
          </w:tcPr>
          <w:p>
            <w:pPr>
              <w:pStyle w:val="711"/>
              <w:ind w:firstLine="360"/>
              <w:jc w:val="center"/>
              <w:spacing w:line="6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707" w:type="pct"/>
            <w:vAlign w:val="center"/>
            <w:textDirection w:val="lrTb"/>
            <w:noWrap/>
          </w:tcPr>
          <w:p>
            <w:pPr>
              <w:pStyle w:val="711"/>
              <w:ind w:firstLine="360"/>
              <w:jc w:val="center"/>
              <w:spacing w:line="6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c>
          <w:tcPr>
            <w:tcW w:w="706" w:type="pct"/>
            <w:vAlign w:val="center"/>
            <w:textDirection w:val="lrTb"/>
            <w:noWrap/>
          </w:tcPr>
          <w:p>
            <w:pPr>
              <w:pStyle w:val="711"/>
              <w:ind w:firstLine="360"/>
              <w:jc w:val="center"/>
              <w:spacing w:line="6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792" w:type="pct"/>
            <w:vAlign w:val="center"/>
            <w:textDirection w:val="lrTb"/>
            <w:noWrap/>
          </w:tcPr>
          <w:p>
            <w:pPr>
              <w:pStyle w:val="711"/>
              <w:ind w:firstLine="36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792" w:type="pct"/>
            <w:vAlign w:val="center"/>
            <w:textDirection w:val="lrTb"/>
            <w:noWrap/>
          </w:tcPr>
          <w:p>
            <w:pPr>
              <w:pStyle w:val="711"/>
              <w:ind w:firstLine="360"/>
              <w:jc w:val="center"/>
              <w:spacing w:line="6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707" w:type="pct"/>
            <w:vAlign w:val="center"/>
            <w:textDirection w:val="lrTb"/>
            <w:noWrap/>
          </w:tcPr>
          <w:p>
            <w:pPr>
              <w:pStyle w:val="711"/>
              <w:ind w:firstLine="360"/>
              <w:jc w:val="center"/>
              <w:spacing w:line="6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c>
          <w:tcPr>
            <w:tcW w:w="706" w:type="pct"/>
            <w:vAlign w:val="center"/>
            <w:textDirection w:val="lrTb"/>
            <w:noWrap/>
          </w:tcPr>
          <w:p>
            <w:pPr>
              <w:pStyle w:val="711"/>
              <w:ind w:firstLine="360"/>
              <w:jc w:val="center"/>
              <w:spacing w:line="6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792" w:type="pct"/>
            <w:vAlign w:val="center"/>
            <w:textDirection w:val="lrTb"/>
            <w:noWrap/>
          </w:tcPr>
          <w:p>
            <w:pPr>
              <w:pStyle w:val="711"/>
              <w:ind w:firstLine="36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792" w:type="pct"/>
            <w:vAlign w:val="center"/>
            <w:textDirection w:val="lrTb"/>
            <w:noWrap/>
          </w:tcPr>
          <w:p>
            <w:pPr>
              <w:pStyle w:val="711"/>
              <w:ind w:firstLine="360"/>
              <w:jc w:val="center"/>
              <w:spacing w:line="6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707" w:type="pct"/>
            <w:vAlign w:val="center"/>
            <w:textDirection w:val="lrTb"/>
            <w:noWrap/>
          </w:tcPr>
          <w:p>
            <w:pPr>
              <w:pStyle w:val="711"/>
              <w:ind w:firstLine="360"/>
              <w:jc w:val="center"/>
              <w:spacing w:line="6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c>
          <w:tcPr>
            <w:tcW w:w="706" w:type="pct"/>
            <w:vAlign w:val="center"/>
            <w:textDirection w:val="lrTb"/>
            <w:noWrap/>
          </w:tcPr>
          <w:p>
            <w:pPr>
              <w:pStyle w:val="711"/>
              <w:ind w:firstLine="360"/>
              <w:jc w:val="center"/>
              <w:spacing w:line="6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792" w:type="pct"/>
            <w:vAlign w:val="center"/>
            <w:textDirection w:val="lrTb"/>
            <w:noWrap/>
          </w:tcPr>
          <w:p>
            <w:pPr>
              <w:pStyle w:val="711"/>
              <w:ind w:firstLine="36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792" w:type="pct"/>
            <w:vAlign w:val="center"/>
            <w:textDirection w:val="lrTb"/>
            <w:noWrap/>
          </w:tcPr>
          <w:p>
            <w:pPr>
              <w:pStyle w:val="711"/>
              <w:ind w:firstLine="360"/>
              <w:jc w:val="center"/>
              <w:spacing w:line="6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707" w:type="pct"/>
            <w:vAlign w:val="center"/>
            <w:textDirection w:val="lrTb"/>
            <w:noWrap/>
          </w:tcPr>
          <w:p>
            <w:pPr>
              <w:pStyle w:val="711"/>
              <w:ind w:firstLine="360"/>
              <w:jc w:val="center"/>
              <w:spacing w:line="6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c>
          <w:tcPr>
            <w:tcW w:w="706" w:type="pct"/>
            <w:vAlign w:val="center"/>
            <w:textDirection w:val="lrTb"/>
            <w:noWrap/>
          </w:tcPr>
          <w:p>
            <w:pPr>
              <w:pStyle w:val="711"/>
              <w:ind w:firstLine="360"/>
              <w:jc w:val="center"/>
              <w:spacing w:line="6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792" w:type="pct"/>
            <w:vAlign w:val="center"/>
            <w:textDirection w:val="lrTb"/>
            <w:noWrap/>
          </w:tcPr>
          <w:p>
            <w:pPr>
              <w:pStyle w:val="711"/>
              <w:ind w:firstLine="36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792" w:type="pct"/>
            <w:vAlign w:val="center"/>
            <w:textDirection w:val="lrTb"/>
            <w:noWrap/>
          </w:tcPr>
          <w:p>
            <w:pPr>
              <w:pStyle w:val="711"/>
              <w:ind w:firstLine="360"/>
              <w:jc w:val="center"/>
              <w:spacing w:line="6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707" w:type="pct"/>
            <w:vAlign w:val="center"/>
            <w:textDirection w:val="lrTb"/>
            <w:noWrap/>
          </w:tcPr>
          <w:p>
            <w:pPr>
              <w:pStyle w:val="711"/>
              <w:ind w:firstLine="360"/>
              <w:jc w:val="center"/>
              <w:spacing w:line="6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c>
          <w:tcPr>
            <w:tcW w:w="706" w:type="pct"/>
            <w:vAlign w:val="center"/>
            <w:textDirection w:val="lrTb"/>
            <w:noWrap/>
          </w:tcPr>
          <w:p>
            <w:pPr>
              <w:pStyle w:val="711"/>
              <w:ind w:firstLine="360"/>
              <w:jc w:val="center"/>
              <w:spacing w:line="6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792" w:type="pct"/>
            <w:vAlign w:val="center"/>
            <w:textDirection w:val="lrTb"/>
            <w:noWrap/>
          </w:tcPr>
          <w:p>
            <w:pPr>
              <w:pStyle w:val="711"/>
              <w:ind w:firstLine="36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792" w:type="pct"/>
            <w:vAlign w:val="center"/>
            <w:textDirection w:val="lrTb"/>
            <w:noWrap/>
          </w:tcPr>
          <w:p>
            <w:pPr>
              <w:pStyle w:val="711"/>
              <w:ind w:firstLine="360"/>
              <w:jc w:val="center"/>
              <w:spacing w:line="6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707" w:type="pct"/>
            <w:vAlign w:val="center"/>
            <w:textDirection w:val="lrTb"/>
            <w:noWrap/>
          </w:tcPr>
          <w:p>
            <w:pPr>
              <w:pStyle w:val="711"/>
              <w:ind w:firstLine="360"/>
              <w:jc w:val="center"/>
              <w:spacing w:line="6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c>
          <w:tcPr>
            <w:tcW w:w="706" w:type="pct"/>
            <w:vAlign w:val="center"/>
            <w:textDirection w:val="lrTb"/>
            <w:noWrap/>
          </w:tcPr>
          <w:p>
            <w:pPr>
              <w:pStyle w:val="711"/>
              <w:ind w:firstLine="360"/>
              <w:jc w:val="center"/>
              <w:spacing w:line="6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792" w:type="pct"/>
            <w:vAlign w:val="center"/>
            <w:textDirection w:val="lrTb"/>
            <w:noWrap/>
          </w:tcPr>
          <w:p>
            <w:pPr>
              <w:pStyle w:val="711"/>
              <w:ind w:firstLine="36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792" w:type="pct"/>
            <w:vAlign w:val="center"/>
            <w:textDirection w:val="lrTb"/>
            <w:noWrap/>
          </w:tcPr>
          <w:p>
            <w:pPr>
              <w:pStyle w:val="711"/>
              <w:ind w:firstLine="360"/>
              <w:jc w:val="center"/>
              <w:spacing w:line="6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707" w:type="pct"/>
            <w:vAlign w:val="center"/>
            <w:textDirection w:val="lrTb"/>
            <w:noWrap/>
          </w:tcPr>
          <w:p>
            <w:pPr>
              <w:pStyle w:val="711"/>
              <w:ind w:firstLine="360"/>
              <w:jc w:val="center"/>
              <w:spacing w:line="6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c>
          <w:tcPr>
            <w:tcW w:w="706" w:type="pct"/>
            <w:vAlign w:val="center"/>
            <w:textDirection w:val="lrTb"/>
            <w:noWrap/>
          </w:tcPr>
          <w:p>
            <w:pPr>
              <w:pStyle w:val="711"/>
              <w:ind w:firstLine="360"/>
              <w:jc w:val="center"/>
              <w:spacing w:line="6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792" w:type="pct"/>
            <w:vAlign w:val="center"/>
            <w:textDirection w:val="lrTb"/>
            <w:noWrap/>
          </w:tcPr>
          <w:p>
            <w:pPr>
              <w:pStyle w:val="711"/>
              <w:ind w:firstLine="36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792" w:type="pct"/>
            <w:vAlign w:val="center"/>
            <w:textDirection w:val="lrTb"/>
            <w:noWrap/>
          </w:tcPr>
          <w:p>
            <w:pPr>
              <w:pStyle w:val="711"/>
              <w:ind w:firstLine="360"/>
              <w:jc w:val="center"/>
              <w:spacing w:line="6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707" w:type="pct"/>
            <w:vAlign w:val="center"/>
            <w:textDirection w:val="lrTb"/>
            <w:noWrap/>
          </w:tcPr>
          <w:p>
            <w:pPr>
              <w:pStyle w:val="711"/>
              <w:ind w:firstLine="360"/>
              <w:jc w:val="center"/>
              <w:spacing w:line="6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c>
          <w:tcPr>
            <w:tcW w:w="706" w:type="pct"/>
            <w:vAlign w:val="center"/>
            <w:textDirection w:val="lrTb"/>
            <w:noWrap/>
          </w:tcPr>
          <w:p>
            <w:pPr>
              <w:pStyle w:val="711"/>
              <w:ind w:firstLine="360"/>
              <w:jc w:val="center"/>
              <w:spacing w:line="6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792" w:type="pct"/>
            <w:vAlign w:val="center"/>
            <w:textDirection w:val="lrTb"/>
            <w:noWrap/>
          </w:tcPr>
          <w:p>
            <w:pPr>
              <w:pStyle w:val="711"/>
              <w:ind w:firstLine="36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792" w:type="pct"/>
            <w:vAlign w:val="center"/>
            <w:textDirection w:val="lrTb"/>
            <w:noWrap/>
          </w:tcPr>
          <w:p>
            <w:pPr>
              <w:pStyle w:val="711"/>
              <w:ind w:firstLine="360"/>
              <w:jc w:val="center"/>
              <w:spacing w:line="6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707" w:type="pct"/>
            <w:vAlign w:val="center"/>
            <w:textDirection w:val="lrTb"/>
            <w:noWrap/>
          </w:tcPr>
          <w:p>
            <w:pPr>
              <w:pStyle w:val="711"/>
              <w:ind w:firstLine="360"/>
              <w:jc w:val="center"/>
              <w:spacing w:line="6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bl>
    <w:p>
      <w:pPr>
        <w:pStyle w:val="711"/>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注：“偏离说明”填写“正偏离”“负偏离”或“无偏离”。</w:t>
      </w:r>
      <w:r/>
    </w:p>
    <w:p>
      <w:pPr>
        <w:pStyle w:val="703"/>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5040"/>
        <w:spacing w:line="560" w:lineRule="exact"/>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供应商（公章）：</w:t>
      </w:r>
      <w:r/>
    </w:p>
    <w:p>
      <w:pPr>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法定代表人或授权代表签字：______</w:t>
      </w:r>
      <w:r/>
    </w:p>
    <w:p>
      <w:pPr>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日期：______年月日</w:t>
      </w:r>
      <w:r/>
    </w:p>
    <w:p>
      <w:pPr>
        <w:pStyle w:val="913"/>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pStyle w:val="913"/>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pStyle w:val="913"/>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pStyle w:val="913"/>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pStyle w:val="913"/>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jc w:val="center"/>
        <w:spacing w:line="360" w:lineRule="auto"/>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t xml:space="preserve">十、售后服务承诺</w:t>
      </w:r>
      <w:r/>
    </w:p>
    <w:p>
      <w:pPr>
        <w:pStyle w:val="70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（格式自拟）</w:t>
      </w:r>
      <w:r/>
    </w:p>
    <w:p>
      <w:pPr>
        <w:jc w:val="center"/>
        <w:spacing w:line="360" w:lineRule="auto"/>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pStyle w:val="705"/>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05"/>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05"/>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5040"/>
        <w:spacing w:line="560" w:lineRule="exact"/>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供应商（公章）：</w:t>
      </w:r>
      <w:r/>
    </w:p>
    <w:p>
      <w:pPr>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法定代表人或授权代表签字：_____</w:t>
      </w:r>
      <w:r/>
    </w:p>
    <w:p>
      <w:pPr>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日期：_____年月日</w:t>
      </w:r>
      <w:r/>
    </w:p>
    <w:p>
      <w:pPr>
        <w:jc w:val="center"/>
        <w:spacing w:line="360" w:lineRule="auto"/>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pStyle w:val="705"/>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05"/>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05"/>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05"/>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05"/>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05"/>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jc w:val="center"/>
        <w:spacing w:line="360" w:lineRule="auto"/>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jc w:val="center"/>
        <w:spacing w:line="360" w:lineRule="auto"/>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jc w:val="center"/>
        <w:spacing w:line="360" w:lineRule="auto"/>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jc w:val="center"/>
        <w:spacing w:line="360" w:lineRule="auto"/>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jc w:val="center"/>
        <w:spacing w:line="360" w:lineRule="auto"/>
        <w:rPr>
          <w:rFonts w:hint="eastAsia" w:ascii="宋体" w:hAnsi="宋体" w:eastAsia="宋体" w:cs="宋体"/>
          <w:b/>
          <w:color w:val="auto"/>
          <w:sz w:val="32"/>
          <w:szCs w:val="32"/>
          <w:highlight w:val="none"/>
        </w:rPr>
        <w:outlineLvl w:val="0"/>
      </w:pPr>
      <w:r>
        <w:rPr>
          <w:rFonts w:hint="eastAsia" w:ascii="宋体" w:hAnsi="宋体" w:eastAsia="宋体" w:cs="宋体"/>
          <w:b/>
          <w:bCs/>
          <w:color w:val="auto"/>
          <w:sz w:val="32"/>
          <w:szCs w:val="32"/>
          <w:highlight w:val="none"/>
        </w:rPr>
        <w:t xml:space="preserve">十一、项目需求响应方案</w:t>
      </w:r>
      <w:r/>
    </w:p>
    <w:p>
      <w:pPr>
        <w:jc w:val="center"/>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（供应商按“项目需求”等内容要求自行填写）</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7"/>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3"/>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标段名称：</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标段编号：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504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磋商供应商（公章）：</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                                          法定代表人或授权代表签字：</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日期：年月日</w:t>
      </w:r>
      <w:r/>
    </w:p>
    <w:p>
      <w:pP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pStyle w:val="97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5"/>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bCs/>
          <w:color w:val="auto"/>
          <w:sz w:val="32"/>
          <w:szCs w:val="32"/>
          <w:highlight w:val="none"/>
        </w:rPr>
        <w:outlineLvl w:val="0"/>
      </w:pPr>
      <w:r/>
      <w:bookmarkStart w:id="252" w:name="_Toc7264"/>
      <w:r/>
      <w:bookmarkStart w:id="253" w:name="_Toc24229"/>
      <w:r/>
      <w:bookmarkStart w:id="254" w:name="_Toc11507"/>
      <w:r>
        <w:rPr>
          <w:rFonts w:hint="eastAsia" w:ascii="宋体" w:hAnsi="宋体" w:eastAsia="宋体" w:cs="宋体"/>
          <w:b/>
          <w:bCs/>
          <w:color w:val="auto"/>
          <w:sz w:val="32"/>
          <w:szCs w:val="32"/>
          <w:highlight w:val="none"/>
        </w:rPr>
        <w:t xml:space="preserve">十二、其他材料</w:t>
      </w:r>
      <w:bookmarkEnd w:id="252"/>
      <w:r/>
      <w:bookmarkEnd w:id="253"/>
      <w:r/>
      <w:bookmarkEnd w:id="254"/>
      <w:r/>
      <w:r/>
    </w:p>
    <w:p>
      <w:pPr>
        <w:ind w:firstLine="42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840"/>
        <w:jc w:val="center"/>
        <w:spacing w:line="360" w:lineRule="auto"/>
        <w:rPr>
          <w:rFonts w:hint="eastAsia" w:ascii="宋体" w:hAnsi="宋体" w:eastAsia="宋体" w:cs="宋体"/>
          <w:color w:val="auto"/>
          <w:sz w:val="24"/>
          <w:highlight w:val="none"/>
        </w:rPr>
        <w:outlineLvl w:val="0"/>
      </w:pPr>
      <w:r/>
      <w:bookmarkStart w:id="255" w:name="_Toc4695"/>
      <w:r/>
      <w:bookmarkStart w:id="256" w:name="_Toc11717"/>
      <w:r/>
      <w:bookmarkStart w:id="257" w:name="_Toc15866"/>
      <w:r/>
      <w:bookmarkStart w:id="258" w:name="_Toc11517_WPSOffice_Level1"/>
      <w:r>
        <w:rPr>
          <w:rFonts w:hint="eastAsia" w:ascii="宋体" w:hAnsi="宋体" w:eastAsia="宋体" w:cs="宋体"/>
          <w:color w:val="auto"/>
          <w:sz w:val="24"/>
          <w:highlight w:val="none"/>
        </w:rPr>
        <w:t xml:space="preserve">供应商认为有必要提供的材料或评分标准中需要提供的材料。</w:t>
      </w:r>
      <w:bookmarkEnd w:id="255"/>
      <w:r/>
      <w:bookmarkEnd w:id="256"/>
      <w:r/>
      <w:bookmarkEnd w:id="257"/>
      <w:r/>
      <w:bookmarkEnd w:id="258"/>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4"/>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4"/>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20" w:lineRule="exact"/>
        <w:rPr>
          <w:rFonts w:hint="eastAsia" w:ascii="宋体" w:hAnsi="宋体" w:eastAsia="宋体" w:cs="宋体"/>
          <w:color w:val="auto"/>
          <w:sz w:val="24"/>
          <w:highlight w:val="none"/>
        </w:rPr>
      </w:pPr>
      <w:r>
        <w:rPr>
          <w:rFonts w:hint="eastAsia" w:ascii="宋体" w:hAnsi="宋体" w:eastAsia="宋体" w:cs="宋体"/>
          <w:b/>
          <w:bCs/>
          <w:color w:val="auto"/>
          <w:spacing w:val="8"/>
          <w:sz w:val="24"/>
          <w:highlight w:val="none"/>
        </w:rPr>
        <w:t xml:space="preserve">注：本采购项目的资格评审及评标相关的证明文</w:t>
      </w:r>
      <w:r>
        <w:rPr>
          <w:rFonts w:hint="eastAsia" w:ascii="宋体" w:hAnsi="宋体" w:eastAsia="宋体" w:cs="宋体"/>
          <w:b/>
          <w:bCs/>
          <w:color w:val="auto"/>
          <w:spacing w:val="7"/>
          <w:sz w:val="24"/>
          <w:highlight w:val="none"/>
        </w:rPr>
        <w:t xml:space="preserve">件均需提供原件彩色扫描件上传至电子响应</w:t>
      </w:r>
      <w:r>
        <w:rPr>
          <w:rFonts w:hint="eastAsia" w:ascii="宋体" w:hAnsi="宋体" w:eastAsia="宋体" w:cs="宋体"/>
          <w:b/>
          <w:bCs/>
          <w:color w:val="auto"/>
          <w:spacing w:val="8"/>
          <w:sz w:val="24"/>
          <w:highlight w:val="none"/>
        </w:rPr>
        <w:t xml:space="preserve">文件中，扫描件需齐全并能清晰辨认并在有效期内，</w:t>
      </w:r>
      <w:r>
        <w:rPr>
          <w:rFonts w:hint="eastAsia" w:ascii="宋体" w:hAnsi="宋体" w:eastAsia="宋体" w:cs="宋体"/>
          <w:b/>
          <w:bCs/>
          <w:color w:val="auto"/>
          <w:spacing w:val="7"/>
          <w:sz w:val="24"/>
          <w:highlight w:val="none"/>
        </w:rPr>
        <w:t xml:space="preserve">提供的与评分相关的证明材料必须能清</w:t>
      </w:r>
      <w:r>
        <w:rPr>
          <w:rFonts w:hint="eastAsia" w:ascii="宋体" w:hAnsi="宋体" w:eastAsia="宋体" w:cs="宋体"/>
          <w:b/>
          <w:bCs/>
          <w:color w:val="auto"/>
          <w:spacing w:val="9"/>
          <w:sz w:val="24"/>
          <w:highlight w:val="none"/>
        </w:rPr>
        <w:t xml:space="preserve">晰的表明需要明示的内容，否则由此引起后果自行承担。</w:t>
      </w:r>
      <w:bookmarkEnd w:id="182"/>
      <w:bookmarkEnd w:id="183"/>
      <w:bookmarkEnd w:id="184"/>
      <w:bookmarkEnd w:id="207"/>
      <w:bookmarkEnd w:id="208"/>
      <w:bookmarkEnd w:id="209"/>
      <w:bookmarkEnd w:id="210"/>
      <w:bookmarkEnd w:id="211"/>
      <w:bookmarkEnd w:id="212"/>
      <w:bookmarkEnd w:id="213"/>
      <w:bookmarkEnd w:id="214"/>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sectPr>
      <w:footerReference w:type="default" r:id="rId9"/>
      <w:footerReference w:type="first" r:id="rId10"/>
      <w:footnotePr/>
      <w:endnotePr/>
      <w:type w:val="nextPage"/>
      <w:pgSz w:w="11906" w:h="16838" w:orient="portrait"/>
      <w:pgMar w:top="1440" w:right="1080" w:bottom="1440" w:left="1080" w:header="851" w:footer="907" w:gutter="0"/>
      <w:pgNumType w:start="1"/>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_GBK">
    <w:panose1 w:val="020B0503020202020204"/>
  </w:font>
  <w:font w:name="方正黑体_GBK">
    <w:panose1 w:val="020B0503020202020204"/>
  </w:font>
  <w:font w:name="方正小标宋_GBK">
    <w:panose1 w:val="020B0503020202020204"/>
  </w:font>
  <w:font w:name="Calibri">
    <w:panose1 w:val="020F0502020204030204"/>
  </w:font>
  <w:font w:name="PMingLiU">
    <w:panose1 w:val="02020500000000000000"/>
  </w:font>
  <w:font w:name="Book Antiqua">
    <w:panose1 w:val="02040602050305030304"/>
  </w:font>
  <w:font w:name="Tahoma">
    <w:panose1 w:val="020B0604030504040204"/>
  </w:font>
  <w:font w:name="仿宋">
    <w:panose1 w:val="02010609060101010101"/>
  </w:font>
  <w:font w:name="方正楷体_GBK">
    <w:panose1 w:val="020B0503020202020204"/>
  </w:font>
  <w:font w:name="Cambria">
    <w:panose1 w:val="02040503050406030204"/>
  </w:font>
  <w:font w:name="Courier New">
    <w:panose1 w:val="02070309020205020404"/>
  </w:font>
  <w:font w:name="仿宋_GB2312">
    <w:panose1 w:val="02010609060101010101"/>
  </w:font>
  <w:font w:name="方正姚体">
    <w:panose1 w:val="02010601030101010101"/>
  </w:font>
  <w:font w:name="黑体">
    <w:panose1 w:val="02010609060101010101"/>
  </w:font>
  <w:font w:name="Arial">
    <w:panose1 w:val="020B0604020202020204"/>
  </w:font>
  <w:font w:name="楷体_GB2312">
    <w:panose1 w:val="0201060906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jc w:val="center"/>
      <w:tabs>
        <w:tab w:val="clear" w:pos="41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1" name="文本框 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7785" cy="131445"/>
                      </a:xfrm>
                      <a:prstGeom prst="rect">
                        <a:avLst/>
                      </a:prstGeom>
                      <a:noFill/>
                      <a:ln>
                        <a:noFill/>
                      </a:ln>
                      <a:effectLst/>
                    </wps:spPr>
                    <wps:txbx>
                      <w:txbxContent>
                        <w:p>
                          <w:pPr>
                            <w:pStyle w:val="717"/>
                          </w:pPr>
                          <w:r>
                            <w:fldChar w:fldCharType="begin"/>
                          </w:r>
                          <w:r>
                            <w:instrText xml:space="preserve"> PAGE  \* MERGEFORMAT </w:instrText>
                          </w:r>
                          <w:r>
                            <w:fldChar w:fldCharType="separate"/>
                          </w:r>
                          <w:r>
                            <w:t xml:space="preserve">43</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v:textbox inset="0,0,0,0">
                <w:txbxContent>
                  <w:p>
                    <w:pPr>
                      <w:pStyle w:val="717"/>
                    </w:pPr>
                    <w:r>
                      <w:fldChar w:fldCharType="begin"/>
                    </w:r>
                    <w:r>
                      <w:instrText xml:space="preserve"> PAGE  \* MERGEFORMAT </w:instrText>
                    </w:r>
                    <w:r>
                      <w:fldChar w:fldCharType="separate"/>
                    </w:r>
                    <w:r>
                      <w:t xml:space="preserve">43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8"/>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7785" cy="131445"/>
                      </a:xfrm>
                      <a:prstGeom prst="rect">
                        <a:avLst/>
                      </a:prstGeom>
                      <a:noFill/>
                      <a:ln>
                        <a:noFill/>
                      </a:ln>
                      <a:effectLst/>
                    </wps:spPr>
                    <wps:txbx>
                      <w:txbxContent>
                        <w:p>
                          <w:pPr>
                            <w:pStyle w:val="717"/>
                          </w:pPr>
                          <w:r>
                            <w:fldChar w:fldCharType="begin"/>
                          </w:r>
                          <w:r>
                            <w:instrText xml:space="preserve"> PAGE  \* MERGEFORMAT </w:instrText>
                          </w:r>
                          <w:r>
                            <w:fldChar w:fldCharType="separate"/>
                          </w:r>
                          <w:r>
                            <w:t xml:space="preserve">1</w:t>
                          </w:r>
                          <w:r>
                            <w:fldChar w:fldCharType="end"/>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v:textbox inset="0,0,0,0">
                <w:txbxContent>
                  <w:p>
                    <w:pPr>
                      <w:pStyle w:val="71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4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pStyle w:val="944"/>
      <w:isLgl w:val="false"/>
      <w:suff w:val="tab"/>
      <w:lvlText w:val="第%1章"/>
      <w:lvlJc w:val="left"/>
      <w:pPr>
        <w:ind w:left="9351" w:hanging="420"/>
      </w:pPr>
      <w:rPr>
        <w:rFonts w:hint="eastAsia" w:ascii="黑体" w:eastAsia="黑体"/>
        <w:b w:val="0"/>
        <w:sz w:val="36"/>
        <w:lang w:val="en-US"/>
      </w:rPr>
    </w:lvl>
    <w:lvl w:ilvl="1">
      <w:start w:val="1"/>
      <w:numFmt w:val="decimal"/>
      <w:pStyle w:val="943"/>
      <w:isLgl/>
      <w:suff w:val="tab"/>
      <w:lvlText w:val="%1.%2"/>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2">
      <w:start w:val="1"/>
      <w:numFmt w:val="decimal"/>
      <w:pStyle w:val="942"/>
      <w:isLgl/>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928"/>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5">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8"/>
  </w:num>
  <w:num w:numId="4">
    <w:abstractNumId w:val="0"/>
  </w:num>
  <w:num w:numId="5">
    <w:abstractNumId w:val="7"/>
  </w:num>
  <w:num w:numId="6">
    <w:abstractNumId w:val="9"/>
  </w:num>
  <w:num w:numId="7">
    <w:abstractNumId w:val="6"/>
  </w:num>
  <w:num w:numId="8">
    <w:abstractNumId w:val="5"/>
  </w:num>
  <w:num w:numId="9">
    <w:abstractNumId w:val="3"/>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6"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87">
    <w:name w:val="Heading 1"/>
    <w:basedOn w:val="686"/>
    <w:next w:val="686"/>
    <w:link w:val="915"/>
    <w:uiPriority w:val="0"/>
    <w:qFormat/>
    <w:pPr>
      <w:jc w:val="center"/>
      <w:keepNext/>
      <w:outlineLvl w:val="0"/>
    </w:pPr>
    <w:rPr>
      <w:rFonts w:ascii="楷体_GB2312" w:hAnsi="楷体_GB2312"/>
      <w:b/>
      <w:sz w:val="44"/>
      <w:szCs w:val="20"/>
    </w:rPr>
  </w:style>
  <w:style w:type="paragraph" w:styleId="688">
    <w:name w:val="Heading 2"/>
    <w:basedOn w:val="686"/>
    <w:next w:val="686"/>
    <w:uiPriority w:val="0"/>
    <w:qFormat/>
    <w:pPr>
      <w:jc w:val="center"/>
      <w:keepLines/>
      <w:keepNext/>
      <w:spacing w:before="260" w:after="260" w:line="416" w:lineRule="auto"/>
      <w:outlineLvl w:val="1"/>
    </w:pPr>
    <w:rPr>
      <w:rFonts w:ascii="Arial" w:hAnsi="Arial"/>
      <w:b/>
      <w:sz w:val="44"/>
      <w:szCs w:val="20"/>
    </w:rPr>
  </w:style>
  <w:style w:type="paragraph" w:styleId="689">
    <w:name w:val="Heading 3"/>
    <w:basedOn w:val="686"/>
    <w:next w:val="686"/>
    <w:uiPriority w:val="0"/>
    <w:qFormat/>
    <w:pPr>
      <w:keepLines/>
      <w:keepNext/>
      <w:spacing w:before="260" w:after="260" w:line="416" w:lineRule="auto"/>
      <w:outlineLvl w:val="2"/>
    </w:pPr>
    <w:rPr>
      <w:b/>
      <w:sz w:val="32"/>
      <w:szCs w:val="20"/>
    </w:rPr>
  </w:style>
  <w:style w:type="paragraph" w:styleId="690">
    <w:name w:val="Heading 4"/>
    <w:basedOn w:val="686"/>
    <w:next w:val="686"/>
    <w:uiPriority w:val="0"/>
    <w:qFormat/>
    <w:pPr>
      <w:keepLines/>
      <w:keepNext/>
      <w:spacing w:before="280" w:after="290" w:line="376" w:lineRule="auto"/>
      <w:outlineLvl w:val="3"/>
    </w:pPr>
    <w:rPr>
      <w:rFonts w:ascii="Arial" w:hAnsi="Arial" w:eastAsia="黑体"/>
      <w:bCs/>
      <w:sz w:val="28"/>
      <w:szCs w:val="28"/>
    </w:rPr>
  </w:style>
  <w:style w:type="paragraph" w:styleId="691">
    <w:name w:val="Heading 5"/>
    <w:basedOn w:val="686"/>
    <w:next w:val="686"/>
    <w:uiPriority w:val="0"/>
    <w:qFormat/>
    <w:pPr>
      <w:keepNext/>
      <w:outlineLvl w:val="4"/>
    </w:pPr>
    <w:rPr>
      <w:rFonts w:ascii="宋体" w:hAnsi="宋体"/>
      <w:b/>
      <w:bCs/>
    </w:rPr>
  </w:style>
  <w:style w:type="paragraph" w:styleId="692">
    <w:name w:val="Heading 6"/>
    <w:basedOn w:val="686"/>
    <w:next w:val="686"/>
    <w:link w:val="769"/>
    <w:uiPriority w:val="9"/>
    <w:unhideWhenUsed/>
    <w:qFormat/>
    <w:pPr>
      <w:keepLines/>
      <w:keepNext/>
      <w:spacing w:before="320" w:after="200"/>
      <w:outlineLvl w:val="5"/>
    </w:pPr>
    <w:rPr>
      <w:rFonts w:ascii="Arial" w:hAnsi="Arial" w:eastAsia="Arial" w:cs="Arial"/>
      <w:b/>
      <w:bCs/>
      <w:sz w:val="22"/>
      <w:szCs w:val="22"/>
    </w:rPr>
  </w:style>
  <w:style w:type="paragraph" w:styleId="693">
    <w:name w:val="Heading 7"/>
    <w:basedOn w:val="686"/>
    <w:next w:val="686"/>
    <w:link w:val="770"/>
    <w:uiPriority w:val="9"/>
    <w:unhideWhenUsed/>
    <w:qFormat/>
    <w:pPr>
      <w:keepLines/>
      <w:keepNext/>
      <w:spacing w:before="320" w:after="200"/>
      <w:outlineLvl w:val="6"/>
    </w:pPr>
    <w:rPr>
      <w:rFonts w:ascii="Arial" w:hAnsi="Arial" w:eastAsia="Arial" w:cs="Arial"/>
      <w:b/>
      <w:bCs/>
      <w:i/>
      <w:iCs/>
      <w:sz w:val="22"/>
      <w:szCs w:val="22"/>
    </w:rPr>
  </w:style>
  <w:style w:type="paragraph" w:styleId="694">
    <w:name w:val="Heading 8"/>
    <w:basedOn w:val="686"/>
    <w:next w:val="686"/>
    <w:link w:val="771"/>
    <w:uiPriority w:val="9"/>
    <w:unhideWhenUsed/>
    <w:qFormat/>
    <w:pPr>
      <w:keepLines/>
      <w:keepNext/>
      <w:spacing w:before="320" w:after="200"/>
      <w:outlineLvl w:val="7"/>
    </w:pPr>
    <w:rPr>
      <w:rFonts w:ascii="Arial" w:hAnsi="Arial" w:eastAsia="Arial" w:cs="Arial"/>
      <w:i/>
      <w:iCs/>
      <w:sz w:val="22"/>
      <w:szCs w:val="22"/>
    </w:rPr>
  </w:style>
  <w:style w:type="paragraph" w:styleId="695">
    <w:name w:val="Heading 9"/>
    <w:basedOn w:val="686"/>
    <w:next w:val="686"/>
    <w:link w:val="772"/>
    <w:uiPriority w:val="9"/>
    <w:unhideWhenUsed/>
    <w:qFormat/>
    <w:pPr>
      <w:keepLines/>
      <w:keepNext/>
      <w:spacing w:before="320" w:after="200"/>
      <w:outlineLvl w:val="8"/>
    </w:pPr>
    <w:rPr>
      <w:rFonts w:ascii="Arial" w:hAnsi="Arial" w:eastAsia="Arial" w:cs="Arial"/>
      <w:i/>
      <w:iCs/>
      <w:szCs w:val="21"/>
    </w:rPr>
  </w:style>
  <w:style w:type="character" w:styleId="696" w:default="1">
    <w:name w:val="Default Paragraph Font"/>
    <w:uiPriority w:val="1"/>
    <w:semiHidden/>
    <w:unhideWhenUsed/>
    <w:qFormat/>
  </w:style>
  <w:style w:type="table" w:styleId="697" w:default="1">
    <w:name w:val="Normal Table"/>
    <w:uiPriority w:val="99"/>
    <w:semiHidden/>
    <w:unhideWhenUsed/>
    <w:qFormat/>
    <w:tblPr>
      <w:tblCellMar>
        <w:left w:w="108" w:type="dxa"/>
        <w:top w:w="0" w:type="dxa"/>
        <w:right w:w="108" w:type="dxa"/>
        <w:bottom w:w="0" w:type="dxa"/>
      </w:tblCellMar>
    </w:tblPr>
  </w:style>
  <w:style w:type="paragraph" w:styleId="698">
    <w:name w:val="toc 7"/>
    <w:basedOn w:val="686"/>
    <w:next w:val="686"/>
    <w:uiPriority w:val="0"/>
    <w:semiHidden/>
    <w:qFormat/>
    <w:pPr>
      <w:ind w:left="2520"/>
    </w:pPr>
  </w:style>
  <w:style w:type="paragraph" w:styleId="699">
    <w:name w:val="Normal Indent"/>
    <w:basedOn w:val="686"/>
    <w:link w:val="916"/>
    <w:uiPriority w:val="0"/>
    <w:qFormat/>
    <w:pPr>
      <w:ind w:firstLine="420"/>
    </w:pPr>
    <w:rPr>
      <w:szCs w:val="20"/>
    </w:rPr>
  </w:style>
  <w:style w:type="paragraph" w:styleId="700">
    <w:name w:val="Caption"/>
    <w:basedOn w:val="686"/>
    <w:next w:val="686"/>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701">
    <w:name w:val="index 5"/>
    <w:basedOn w:val="686"/>
    <w:next w:val="686"/>
    <w:uiPriority w:val="0"/>
    <w:qFormat/>
    <w:pPr>
      <w:ind w:left="800"/>
      <w:spacing w:line="240" w:lineRule="atLeast"/>
      <w:widowControl/>
    </w:pPr>
    <w:rPr>
      <w:rFonts w:ascii="Arial" w:hAnsi="Arial"/>
      <w:szCs w:val="21"/>
    </w:rPr>
  </w:style>
  <w:style w:type="paragraph" w:styleId="702">
    <w:name w:val="Document Map"/>
    <w:basedOn w:val="686"/>
    <w:uiPriority w:val="0"/>
    <w:semiHidden/>
    <w:qFormat/>
    <w:pPr>
      <w:shd w:val="clear" w:color="auto" w:fill="000080"/>
    </w:pPr>
  </w:style>
  <w:style w:type="paragraph" w:styleId="703">
    <w:name w:val="annotation text"/>
    <w:basedOn w:val="686"/>
    <w:link w:val="917"/>
    <w:uiPriority w:val="99"/>
    <w:qFormat/>
    <w:pPr>
      <w:jc w:val="left"/>
    </w:pPr>
  </w:style>
  <w:style w:type="paragraph" w:styleId="704">
    <w:name w:val="Body Text 3"/>
    <w:basedOn w:val="686"/>
    <w:uiPriority w:val="0"/>
    <w:qFormat/>
    <w:rPr>
      <w:rFonts w:ascii="仿宋_GB2312" w:hAnsi="Arial" w:eastAsia="仿宋_GB2312"/>
      <w:sz w:val="32"/>
      <w:szCs w:val="20"/>
    </w:rPr>
  </w:style>
  <w:style w:type="paragraph" w:styleId="705">
    <w:name w:val="Body Text"/>
    <w:basedOn w:val="686"/>
    <w:next w:val="686"/>
    <w:uiPriority w:val="0"/>
    <w:qFormat/>
    <w:rPr>
      <w:rFonts w:ascii="楷体_GB2312" w:hAnsi="Arial" w:eastAsia="楷体_GB2312"/>
      <w:sz w:val="28"/>
      <w:szCs w:val="20"/>
    </w:rPr>
  </w:style>
  <w:style w:type="paragraph" w:styleId="706">
    <w:name w:val="Body Text Indent"/>
    <w:basedOn w:val="686"/>
    <w:next w:val="707"/>
    <w:uiPriority w:val="0"/>
    <w:qFormat/>
    <w:pPr>
      <w:ind w:firstLine="645"/>
    </w:pPr>
    <w:rPr>
      <w:rFonts w:ascii="楷体_GB2312" w:eastAsia="楷体_GB2312"/>
      <w:sz w:val="32"/>
      <w:szCs w:val="20"/>
    </w:rPr>
  </w:style>
  <w:style w:type="paragraph" w:styleId="707">
    <w:name w:val="envelope return"/>
    <w:basedOn w:val="686"/>
    <w:uiPriority w:val="0"/>
    <w:qFormat/>
    <w:rPr>
      <w:rFonts w:ascii="Arial" w:hAnsi="Arial"/>
    </w:rPr>
  </w:style>
  <w:style w:type="paragraph" w:styleId="708">
    <w:name w:val="Block Text"/>
    <w:basedOn w:val="686"/>
    <w:uiPriority w:val="0"/>
    <w:qFormat/>
    <w:pPr>
      <w:ind w:left="1440" w:right="1440" w:firstLine="480"/>
      <w:jc w:val="left"/>
      <w:spacing w:before="100" w:beforeAutospacing="1" w:after="100" w:afterAutospacing="1" w:line="360" w:lineRule="auto"/>
      <w:widowControl/>
    </w:pPr>
    <w:rPr>
      <w:rFonts w:ascii="宋体" w:hAnsi="宋体"/>
      <w:sz w:val="24"/>
    </w:rPr>
  </w:style>
  <w:style w:type="paragraph" w:styleId="709">
    <w:name w:val="toc 5"/>
    <w:basedOn w:val="686"/>
    <w:next w:val="686"/>
    <w:uiPriority w:val="0"/>
    <w:semiHidden/>
    <w:qFormat/>
    <w:pPr>
      <w:ind w:left="1680"/>
    </w:pPr>
  </w:style>
  <w:style w:type="paragraph" w:styleId="710">
    <w:name w:val="toc 3"/>
    <w:basedOn w:val="686"/>
    <w:next w:val="686"/>
    <w:uiPriority w:val="39"/>
    <w:semiHidden/>
    <w:qFormat/>
    <w:pPr>
      <w:ind w:left="539"/>
      <w:jc w:val="left"/>
      <w:spacing w:line="240" w:lineRule="exact"/>
      <w:tabs>
        <w:tab w:val="right" w:pos="9440" w:leader="dot"/>
      </w:tabs>
    </w:pPr>
    <w:rPr>
      <w:rFonts w:ascii="黑体" w:hAnsi="宋体" w:eastAsia="黑体"/>
      <w:bCs/>
      <w:iCs/>
      <w:sz w:val="18"/>
      <w:szCs w:val="32"/>
    </w:rPr>
  </w:style>
  <w:style w:type="paragraph" w:styleId="711">
    <w:name w:val="Plain Text"/>
    <w:basedOn w:val="686"/>
    <w:next w:val="699"/>
    <w:link w:val="918"/>
    <w:uiPriority w:val="0"/>
    <w:qFormat/>
    <w:rPr>
      <w:rFonts w:ascii="宋体" w:hAnsi="Courier New"/>
      <w:szCs w:val="20"/>
    </w:rPr>
  </w:style>
  <w:style w:type="paragraph" w:styleId="712">
    <w:name w:val="toc 8"/>
    <w:basedOn w:val="686"/>
    <w:next w:val="686"/>
    <w:uiPriority w:val="0"/>
    <w:semiHidden/>
    <w:qFormat/>
    <w:pPr>
      <w:ind w:left="2940"/>
    </w:pPr>
  </w:style>
  <w:style w:type="paragraph" w:styleId="713">
    <w:name w:val="Date"/>
    <w:basedOn w:val="686"/>
    <w:next w:val="686"/>
    <w:uiPriority w:val="0"/>
    <w:qFormat/>
    <w:rPr>
      <w:sz w:val="24"/>
      <w:szCs w:val="20"/>
    </w:rPr>
  </w:style>
  <w:style w:type="paragraph" w:styleId="714">
    <w:name w:val="Body Text Indent 2"/>
    <w:basedOn w:val="686"/>
    <w:uiPriority w:val="0"/>
    <w:qFormat/>
    <w:pPr>
      <w:ind w:firstLine="560"/>
    </w:pPr>
    <w:rPr>
      <w:rFonts w:ascii="宋体" w:hAnsi="宋体"/>
      <w:sz w:val="28"/>
    </w:rPr>
  </w:style>
  <w:style w:type="paragraph" w:styleId="715">
    <w:name w:val="endnote text"/>
    <w:basedOn w:val="686"/>
    <w:link w:val="909"/>
    <w:uiPriority w:val="99"/>
    <w:semiHidden/>
    <w:unhideWhenUsed/>
    <w:qFormat/>
    <w:rPr>
      <w:sz w:val="20"/>
    </w:rPr>
  </w:style>
  <w:style w:type="paragraph" w:styleId="716">
    <w:name w:val="Balloon Text"/>
    <w:basedOn w:val="686"/>
    <w:uiPriority w:val="0"/>
    <w:semiHidden/>
    <w:qFormat/>
    <w:rPr>
      <w:sz w:val="18"/>
      <w:szCs w:val="18"/>
    </w:rPr>
  </w:style>
  <w:style w:type="paragraph" w:styleId="717">
    <w:name w:val="Footer"/>
    <w:basedOn w:val="686"/>
    <w:uiPriority w:val="0"/>
    <w:qFormat/>
    <w:pPr>
      <w:jc w:val="left"/>
      <w:tabs>
        <w:tab w:val="center" w:pos="4153" w:leader="none"/>
        <w:tab w:val="right" w:pos="8306" w:leader="none"/>
      </w:tabs>
    </w:pPr>
    <w:rPr>
      <w:sz w:val="18"/>
      <w:szCs w:val="20"/>
    </w:rPr>
  </w:style>
  <w:style w:type="paragraph" w:styleId="718">
    <w:name w:val="Header"/>
    <w:basedOn w:val="686"/>
    <w:uiPriority w:val="0"/>
    <w:qFormat/>
    <w:pPr>
      <w:jc w:val="center"/>
      <w:tabs>
        <w:tab w:val="center" w:pos="4153" w:leader="none"/>
        <w:tab w:val="right" w:pos="8306" w:leader="none"/>
      </w:tabs>
      <w:pBdr>
        <w:bottom w:val="single" w:color="auto" w:sz="6" w:space="1"/>
      </w:pBdr>
    </w:pPr>
    <w:rPr>
      <w:sz w:val="18"/>
      <w:szCs w:val="18"/>
    </w:rPr>
  </w:style>
  <w:style w:type="paragraph" w:styleId="719">
    <w:name w:val="toc 1"/>
    <w:basedOn w:val="686"/>
    <w:next w:val="686"/>
    <w:uiPriority w:val="39"/>
    <w:qFormat/>
    <w:pPr>
      <w:jc w:val="left"/>
      <w:spacing w:before="120" w:after="120" w:line="300" w:lineRule="exact"/>
      <w:tabs>
        <w:tab w:val="right" w:pos="9440" w:leader="dot"/>
      </w:tabs>
    </w:pPr>
    <w:rPr>
      <w:rFonts w:ascii="黑体" w:eastAsia="黑体"/>
      <w:b/>
      <w:caps/>
      <w:sz w:val="18"/>
      <w:szCs w:val="28"/>
    </w:rPr>
  </w:style>
  <w:style w:type="paragraph" w:styleId="720">
    <w:name w:val="toc 4"/>
    <w:basedOn w:val="686"/>
    <w:next w:val="686"/>
    <w:uiPriority w:val="0"/>
    <w:semiHidden/>
    <w:qFormat/>
    <w:pPr>
      <w:ind w:left="1260"/>
    </w:pPr>
  </w:style>
  <w:style w:type="paragraph" w:styleId="721">
    <w:name w:val="Subtitle"/>
    <w:basedOn w:val="686"/>
    <w:next w:val="686"/>
    <w:link w:val="919"/>
    <w:uiPriority w:val="0"/>
    <w:qFormat/>
    <w:pPr>
      <w:jc w:val="center"/>
      <w:spacing w:before="240" w:after="60" w:line="312" w:lineRule="auto"/>
      <w:outlineLvl w:val="1"/>
    </w:pPr>
    <w:rPr>
      <w:rFonts w:ascii="Cambria" w:hAnsi="Cambria"/>
      <w:b/>
      <w:bCs/>
      <w:sz w:val="32"/>
      <w:szCs w:val="32"/>
    </w:rPr>
  </w:style>
  <w:style w:type="paragraph" w:styleId="722">
    <w:name w:val="footnote text"/>
    <w:basedOn w:val="686"/>
    <w:next w:val="701"/>
    <w:uiPriority w:val="0"/>
    <w:qFormat/>
    <w:pPr>
      <w:ind w:firstLine="425"/>
      <w:jc w:val="left"/>
      <w:spacing w:before="120" w:line="360" w:lineRule="auto"/>
    </w:pPr>
    <w:rPr>
      <w:sz w:val="18"/>
      <w:szCs w:val="20"/>
    </w:rPr>
  </w:style>
  <w:style w:type="paragraph" w:styleId="723">
    <w:name w:val="toc 6"/>
    <w:basedOn w:val="686"/>
    <w:next w:val="686"/>
    <w:uiPriority w:val="0"/>
    <w:semiHidden/>
    <w:qFormat/>
    <w:pPr>
      <w:ind w:left="2100"/>
    </w:pPr>
  </w:style>
  <w:style w:type="paragraph" w:styleId="724">
    <w:name w:val="Body Text Indent 3"/>
    <w:basedOn w:val="686"/>
    <w:uiPriority w:val="0"/>
    <w:qFormat/>
    <w:pPr>
      <w:ind w:firstLine="523"/>
    </w:pPr>
    <w:rPr>
      <w:rFonts w:ascii="仿宋_GB2312" w:hAnsi="宋体" w:eastAsia="仿宋_GB2312"/>
      <w:sz w:val="24"/>
    </w:rPr>
  </w:style>
  <w:style w:type="paragraph" w:styleId="725">
    <w:name w:val="table of figures"/>
    <w:basedOn w:val="686"/>
    <w:next w:val="686"/>
    <w:uiPriority w:val="99"/>
    <w:unhideWhenUsed/>
    <w:qFormat/>
  </w:style>
  <w:style w:type="paragraph" w:styleId="726">
    <w:name w:val="toc 2"/>
    <w:basedOn w:val="686"/>
    <w:next w:val="686"/>
    <w:uiPriority w:val="39"/>
    <w:qFormat/>
    <w:pPr>
      <w:jc w:val="left"/>
      <w:spacing w:line="260" w:lineRule="exact"/>
      <w:tabs>
        <w:tab w:val="right" w:pos="9440" w:leader="dot"/>
      </w:tabs>
    </w:pPr>
    <w:rPr>
      <w:rFonts w:ascii="黑体" w:eastAsia="黑体"/>
      <w:b/>
      <w:bCs/>
      <w:smallCaps/>
      <w:sz w:val="18"/>
      <w:szCs w:val="44"/>
    </w:rPr>
  </w:style>
  <w:style w:type="paragraph" w:styleId="727">
    <w:name w:val="toc 9"/>
    <w:basedOn w:val="686"/>
    <w:next w:val="686"/>
    <w:uiPriority w:val="0"/>
    <w:semiHidden/>
    <w:qFormat/>
    <w:pPr>
      <w:ind w:left="3360"/>
    </w:pPr>
  </w:style>
  <w:style w:type="paragraph" w:styleId="728">
    <w:name w:val="Body Text 2"/>
    <w:basedOn w:val="686"/>
    <w:uiPriority w:val="0"/>
    <w:qFormat/>
    <w:pPr>
      <w:jc w:val="center"/>
    </w:pPr>
    <w:rPr>
      <w:rFonts w:ascii="仿宋_GB2312" w:eastAsia="仿宋_GB2312"/>
      <w:sz w:val="44"/>
    </w:rPr>
  </w:style>
  <w:style w:type="paragraph" w:styleId="729">
    <w:name w:val="Message Header"/>
    <w:basedOn w:val="686"/>
    <w:uiPriority w:val="0"/>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Cambria" w:hAnsi="Cambria"/>
      <w:sz w:val="24"/>
    </w:rPr>
  </w:style>
  <w:style w:type="paragraph" w:styleId="730">
    <w:name w:val="HTML Preformatted"/>
    <w:basedOn w:val="686"/>
    <w:link w:val="92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731">
    <w:name w:val="Normal (Web)"/>
    <w:basedOn w:val="686"/>
    <w:uiPriority w:val="0"/>
    <w:unhideWhenUsed/>
    <w:qFormat/>
    <w:pPr>
      <w:jc w:val="left"/>
      <w:spacing w:before="100" w:beforeAutospacing="1" w:after="100" w:afterAutospacing="1"/>
      <w:widowControl/>
    </w:pPr>
    <w:rPr>
      <w:rFonts w:ascii="宋体" w:hAnsi="宋体" w:cs="宋体"/>
      <w:sz w:val="24"/>
    </w:rPr>
  </w:style>
  <w:style w:type="paragraph" w:styleId="732">
    <w:name w:val="index 1"/>
    <w:basedOn w:val="686"/>
    <w:next w:val="686"/>
    <w:uiPriority w:val="0"/>
    <w:semiHidden/>
    <w:qFormat/>
    <w:rPr>
      <w:rFonts w:ascii="宋体" w:hAnsi="宋体"/>
      <w:szCs w:val="18"/>
    </w:rPr>
  </w:style>
  <w:style w:type="paragraph" w:styleId="733">
    <w:name w:val="Title"/>
    <w:basedOn w:val="686"/>
    <w:next w:val="686"/>
    <w:link w:val="774"/>
    <w:uiPriority w:val="10"/>
    <w:qFormat/>
    <w:pPr>
      <w:contextualSpacing/>
      <w:spacing w:before="300" w:after="200"/>
    </w:pPr>
    <w:rPr>
      <w:sz w:val="48"/>
      <w:szCs w:val="48"/>
    </w:rPr>
  </w:style>
  <w:style w:type="paragraph" w:styleId="734">
    <w:name w:val="annotation subject"/>
    <w:basedOn w:val="703"/>
    <w:next w:val="703"/>
    <w:link w:val="921"/>
    <w:uiPriority w:val="0"/>
    <w:qFormat/>
    <w:rPr>
      <w:b/>
      <w:bCs/>
    </w:rPr>
  </w:style>
  <w:style w:type="paragraph" w:styleId="735">
    <w:name w:val="Body Text First Indent"/>
    <w:basedOn w:val="705"/>
    <w:next w:val="686"/>
    <w:uiPriority w:val="99"/>
    <w:unhideWhenUsed/>
    <w:qFormat/>
    <w:pPr>
      <w:ind w:firstLine="420"/>
    </w:pPr>
  </w:style>
  <w:style w:type="paragraph" w:styleId="736">
    <w:name w:val="Body Text First Indent 2"/>
    <w:basedOn w:val="706"/>
    <w:uiPriority w:val="0"/>
    <w:qFormat/>
    <w:pPr>
      <w:ind w:left="420" w:firstLine="420"/>
      <w:spacing w:after="120"/>
    </w:pPr>
    <w:rPr>
      <w:rFonts w:cs="宋体"/>
      <w:sz w:val="21"/>
      <w:szCs w:val="21"/>
    </w:rPr>
  </w:style>
  <w:style w:type="table" w:styleId="737">
    <w:name w:val="Table Grid"/>
    <w:basedOn w:val="69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8">
    <w:name w:val="Strong"/>
    <w:basedOn w:val="696"/>
    <w:uiPriority w:val="0"/>
    <w:qFormat/>
    <w:rPr>
      <w:b/>
      <w:bCs/>
    </w:rPr>
  </w:style>
  <w:style w:type="character" w:styleId="739">
    <w:name w:val="endnote reference"/>
    <w:basedOn w:val="696"/>
    <w:uiPriority w:val="99"/>
    <w:semiHidden/>
    <w:unhideWhenUsed/>
    <w:qFormat/>
    <w:rPr>
      <w:vertAlign w:val="superscript"/>
    </w:rPr>
  </w:style>
  <w:style w:type="character" w:styleId="740">
    <w:name w:val="page number"/>
    <w:uiPriority w:val="0"/>
    <w:qFormat/>
  </w:style>
  <w:style w:type="character" w:styleId="741">
    <w:name w:val="FollowedHyperlink"/>
    <w:uiPriority w:val="0"/>
    <w:qFormat/>
    <w:rPr>
      <w:color w:val="800080"/>
      <w:u w:val="none"/>
    </w:rPr>
  </w:style>
  <w:style w:type="character" w:styleId="742">
    <w:name w:val="HTML Definition"/>
    <w:uiPriority w:val="0"/>
    <w:qFormat/>
  </w:style>
  <w:style w:type="character" w:styleId="743">
    <w:name w:val="HTML Typewriter"/>
    <w:uiPriority w:val="0"/>
    <w:qFormat/>
    <w:rPr>
      <w:rFonts w:hint="default" w:ascii="monospace" w:hAnsi="monospace" w:eastAsia="monospace" w:cs="monospace"/>
      <w:sz w:val="20"/>
    </w:rPr>
  </w:style>
  <w:style w:type="character" w:styleId="744">
    <w:name w:val="HTML Acronym"/>
    <w:basedOn w:val="696"/>
    <w:uiPriority w:val="0"/>
    <w:qFormat/>
  </w:style>
  <w:style w:type="character" w:styleId="745">
    <w:name w:val="HTML Variable"/>
    <w:uiPriority w:val="0"/>
    <w:qFormat/>
  </w:style>
  <w:style w:type="character" w:styleId="746">
    <w:name w:val="Hyperlink"/>
    <w:uiPriority w:val="99"/>
    <w:qFormat/>
    <w:rPr>
      <w:color w:val="0000ff"/>
      <w:u w:val="none"/>
    </w:rPr>
  </w:style>
  <w:style w:type="character" w:styleId="747">
    <w:name w:val="HTML Code"/>
    <w:uiPriority w:val="0"/>
    <w:qFormat/>
    <w:rPr>
      <w:rFonts w:ascii="monospace" w:hAnsi="monospace" w:eastAsia="monospace" w:cs="monospace"/>
      <w:sz w:val="20"/>
    </w:rPr>
  </w:style>
  <w:style w:type="character" w:styleId="748">
    <w:name w:val="annotation reference"/>
    <w:uiPriority w:val="0"/>
    <w:qFormat/>
    <w:rPr>
      <w:sz w:val="21"/>
      <w:szCs w:val="21"/>
    </w:rPr>
  </w:style>
  <w:style w:type="character" w:styleId="749">
    <w:name w:val="HTML Cite"/>
    <w:uiPriority w:val="0"/>
    <w:qFormat/>
  </w:style>
  <w:style w:type="character" w:styleId="750">
    <w:name w:val="footnote reference"/>
    <w:basedOn w:val="696"/>
    <w:uiPriority w:val="99"/>
    <w:unhideWhenUsed/>
    <w:qFormat/>
    <w:rPr>
      <w:vertAlign w:val="superscript"/>
    </w:rPr>
  </w:style>
  <w:style w:type="character" w:styleId="751">
    <w:name w:val="HTML Keyboard"/>
    <w:uiPriority w:val="0"/>
    <w:qFormat/>
    <w:rPr>
      <w:rFonts w:hint="default" w:ascii="monospace" w:hAnsi="monospace" w:eastAsia="monospace" w:cs="monospace"/>
      <w:sz w:val="20"/>
    </w:rPr>
  </w:style>
  <w:style w:type="character" w:styleId="752">
    <w:name w:val="HTML Sample"/>
    <w:uiPriority w:val="0"/>
    <w:qFormat/>
    <w:rPr>
      <w:rFonts w:hint="default" w:ascii="monospace" w:hAnsi="monospace" w:eastAsia="monospace" w:cs="monospace"/>
    </w:rPr>
  </w:style>
  <w:style w:type="paragraph" w:styleId="753" w:customStyle="1">
    <w:name w:val="TOC Heading"/>
    <w:uiPriority w:val="39"/>
    <w:unhideWhenUsed/>
    <w:rPr>
      <w:rFonts w:hint="default" w:ascii="Times New Roman" w:hAnsi="Times New Roman" w:eastAsia="宋体" w:cs="Times New Roman"/>
    </w:rPr>
  </w:style>
  <w:style w:type="paragraph" w:styleId="754" w:customStyle="1">
    <w:name w:val="Quote1"/>
    <w:basedOn w:val="686"/>
    <w:next w:val="686"/>
    <w:uiPriority w:val="99"/>
    <w:qFormat/>
    <w:pPr>
      <w:ind w:left="864" w:right="864"/>
      <w:jc w:val="center"/>
      <w:spacing w:before="200" w:after="160"/>
      <w:widowControl/>
    </w:pPr>
    <w:rPr>
      <w:rFonts w:ascii="宋体"/>
      <w:i/>
      <w:color w:val="404040"/>
    </w:rPr>
  </w:style>
  <w:style w:type="character" w:styleId="755" w:customStyle="1">
    <w:name w:val="Heading 6 Char"/>
    <w:basedOn w:val="696"/>
    <w:uiPriority w:val="9"/>
    <w:qFormat/>
    <w:rPr>
      <w:rFonts w:ascii="Arial" w:hAnsi="Arial" w:eastAsia="Arial" w:cs="Arial"/>
      <w:b/>
      <w:bCs/>
      <w:sz w:val="22"/>
      <w:szCs w:val="22"/>
    </w:rPr>
  </w:style>
  <w:style w:type="character" w:styleId="756" w:customStyle="1">
    <w:name w:val="Heading 7 Char"/>
    <w:basedOn w:val="696"/>
    <w:uiPriority w:val="9"/>
    <w:qFormat/>
    <w:rPr>
      <w:rFonts w:ascii="Arial" w:hAnsi="Arial" w:eastAsia="Arial" w:cs="Arial"/>
      <w:b/>
      <w:bCs/>
      <w:i/>
      <w:iCs/>
      <w:sz w:val="22"/>
      <w:szCs w:val="22"/>
    </w:rPr>
  </w:style>
  <w:style w:type="character" w:styleId="757" w:customStyle="1">
    <w:name w:val="Heading 8 Char"/>
    <w:basedOn w:val="696"/>
    <w:uiPriority w:val="9"/>
    <w:qFormat/>
    <w:rPr>
      <w:rFonts w:ascii="Arial" w:hAnsi="Arial" w:eastAsia="Arial" w:cs="Arial"/>
      <w:i/>
      <w:iCs/>
      <w:sz w:val="22"/>
      <w:szCs w:val="22"/>
    </w:rPr>
  </w:style>
  <w:style w:type="character" w:styleId="758" w:customStyle="1">
    <w:name w:val="Heading 9 Char"/>
    <w:basedOn w:val="696"/>
    <w:uiPriority w:val="9"/>
    <w:qFormat/>
    <w:rPr>
      <w:rFonts w:ascii="Arial" w:hAnsi="Arial" w:eastAsia="Arial" w:cs="Arial"/>
      <w:i/>
      <w:iCs/>
      <w:sz w:val="21"/>
      <w:szCs w:val="21"/>
    </w:rPr>
  </w:style>
  <w:style w:type="character" w:styleId="759" w:customStyle="1">
    <w:name w:val="Title Char"/>
    <w:basedOn w:val="696"/>
    <w:uiPriority w:val="10"/>
    <w:qFormat/>
    <w:rPr>
      <w:sz w:val="48"/>
      <w:szCs w:val="48"/>
    </w:rPr>
  </w:style>
  <w:style w:type="character" w:styleId="760" w:customStyle="1">
    <w:name w:val="Quote Char"/>
    <w:uiPriority w:val="29"/>
    <w:qFormat/>
    <w:rPr>
      <w:i/>
    </w:rPr>
  </w:style>
  <w:style w:type="character" w:styleId="761" w:customStyle="1">
    <w:name w:val="Intense Quote Char"/>
    <w:uiPriority w:val="30"/>
    <w:qFormat/>
    <w:rPr>
      <w:i/>
    </w:rPr>
  </w:style>
  <w:style w:type="character" w:styleId="762" w:customStyle="1">
    <w:name w:val="Endnote Text Char"/>
    <w:uiPriority w:val="99"/>
    <w:qFormat/>
    <w:rPr>
      <w:sz w:val="20"/>
    </w:rPr>
  </w:style>
  <w:style w:type="paragraph" w:styleId="763" w:customStyle="1">
    <w:name w:val="TOC 标题1"/>
    <w:uiPriority w:val="39"/>
    <w:unhideWhenUsed/>
    <w:qFormat/>
    <w:rPr>
      <w:rFonts w:hint="default" w:ascii="Times New Roman" w:hAnsi="Times New Roman" w:eastAsia="宋体" w:cs="Times New Roman"/>
      <w:lang w:val="en-US" w:eastAsia="zh-CN" w:bidi="ar-SA"/>
    </w:rPr>
  </w:style>
  <w:style w:type="character" w:styleId="764" w:customStyle="1">
    <w:name w:val="Heading 1 Char"/>
    <w:basedOn w:val="696"/>
    <w:uiPriority w:val="9"/>
    <w:qFormat/>
    <w:rPr>
      <w:rFonts w:ascii="Arial" w:hAnsi="Arial" w:eastAsia="Arial" w:cs="Arial"/>
      <w:sz w:val="40"/>
      <w:szCs w:val="40"/>
    </w:rPr>
  </w:style>
  <w:style w:type="character" w:styleId="765" w:customStyle="1">
    <w:name w:val="Heading 2 Char"/>
    <w:basedOn w:val="696"/>
    <w:uiPriority w:val="9"/>
    <w:qFormat/>
    <w:rPr>
      <w:rFonts w:ascii="Arial" w:hAnsi="Arial" w:eastAsia="Arial" w:cs="Arial"/>
      <w:sz w:val="34"/>
    </w:rPr>
  </w:style>
  <w:style w:type="character" w:styleId="766" w:customStyle="1">
    <w:name w:val="Heading 3 Char"/>
    <w:basedOn w:val="696"/>
    <w:uiPriority w:val="9"/>
    <w:qFormat/>
    <w:rPr>
      <w:rFonts w:ascii="Arial" w:hAnsi="Arial" w:eastAsia="Arial" w:cs="Arial"/>
      <w:sz w:val="30"/>
      <w:szCs w:val="30"/>
    </w:rPr>
  </w:style>
  <w:style w:type="character" w:styleId="767" w:customStyle="1">
    <w:name w:val="Heading 4 Char"/>
    <w:basedOn w:val="696"/>
    <w:uiPriority w:val="9"/>
    <w:qFormat/>
    <w:rPr>
      <w:rFonts w:ascii="Arial" w:hAnsi="Arial" w:eastAsia="Arial" w:cs="Arial"/>
      <w:b/>
      <w:bCs/>
      <w:sz w:val="26"/>
      <w:szCs w:val="26"/>
    </w:rPr>
  </w:style>
  <w:style w:type="character" w:styleId="768" w:customStyle="1">
    <w:name w:val="Heading 5 Char"/>
    <w:basedOn w:val="696"/>
    <w:uiPriority w:val="9"/>
    <w:qFormat/>
    <w:rPr>
      <w:rFonts w:ascii="Arial" w:hAnsi="Arial" w:eastAsia="Arial" w:cs="Arial"/>
      <w:b/>
      <w:bCs/>
      <w:sz w:val="24"/>
      <w:szCs w:val="24"/>
    </w:rPr>
  </w:style>
  <w:style w:type="character" w:styleId="769" w:customStyle="1">
    <w:name w:val="标题 6 Char"/>
    <w:basedOn w:val="696"/>
    <w:link w:val="692"/>
    <w:uiPriority w:val="9"/>
    <w:qFormat/>
    <w:rPr>
      <w:rFonts w:ascii="Arial" w:hAnsi="Arial" w:eastAsia="Arial" w:cs="Arial"/>
      <w:b/>
      <w:bCs/>
      <w:sz w:val="22"/>
      <w:szCs w:val="22"/>
    </w:rPr>
  </w:style>
  <w:style w:type="character" w:styleId="770" w:customStyle="1">
    <w:name w:val="标题 7 Char"/>
    <w:basedOn w:val="696"/>
    <w:link w:val="693"/>
    <w:uiPriority w:val="9"/>
    <w:qFormat/>
    <w:rPr>
      <w:rFonts w:ascii="Arial" w:hAnsi="Arial" w:eastAsia="Arial" w:cs="Arial"/>
      <w:b/>
      <w:bCs/>
      <w:i/>
      <w:iCs/>
      <w:sz w:val="22"/>
      <w:szCs w:val="22"/>
    </w:rPr>
  </w:style>
  <w:style w:type="character" w:styleId="771" w:customStyle="1">
    <w:name w:val="标题 8 Char"/>
    <w:basedOn w:val="696"/>
    <w:link w:val="694"/>
    <w:uiPriority w:val="9"/>
    <w:qFormat/>
    <w:rPr>
      <w:rFonts w:ascii="Arial" w:hAnsi="Arial" w:eastAsia="Arial" w:cs="Arial"/>
      <w:i/>
      <w:iCs/>
      <w:sz w:val="22"/>
      <w:szCs w:val="22"/>
    </w:rPr>
  </w:style>
  <w:style w:type="character" w:styleId="772" w:customStyle="1">
    <w:name w:val="标题 9 Char"/>
    <w:basedOn w:val="696"/>
    <w:link w:val="695"/>
    <w:uiPriority w:val="9"/>
    <w:qFormat/>
    <w:rPr>
      <w:rFonts w:ascii="Arial" w:hAnsi="Arial" w:eastAsia="Arial" w:cs="Arial"/>
      <w:i/>
      <w:iCs/>
      <w:sz w:val="21"/>
      <w:szCs w:val="21"/>
    </w:rPr>
  </w:style>
  <w:style w:type="paragraph" w:styleId="773">
    <w:name w:val="No Spacing"/>
    <w:uiPriority w:val="1"/>
    <w:qFormat/>
    <w:rPr>
      <w:rFonts w:hint="default" w:ascii="Times New Roman" w:hAnsi="Times New Roman" w:eastAsia="宋体" w:cs="Times New Roman"/>
      <w:lang w:val="en-US" w:eastAsia="zh-CN" w:bidi="ar-SA"/>
    </w:rPr>
  </w:style>
  <w:style w:type="character" w:styleId="774" w:customStyle="1">
    <w:name w:val="标题 Char"/>
    <w:basedOn w:val="696"/>
    <w:link w:val="733"/>
    <w:uiPriority w:val="10"/>
    <w:qFormat/>
    <w:rPr>
      <w:sz w:val="48"/>
      <w:szCs w:val="48"/>
    </w:rPr>
  </w:style>
  <w:style w:type="character" w:styleId="775" w:customStyle="1">
    <w:name w:val="Subtitle Char"/>
    <w:basedOn w:val="696"/>
    <w:uiPriority w:val="11"/>
    <w:qFormat/>
    <w:rPr>
      <w:sz w:val="24"/>
      <w:szCs w:val="24"/>
    </w:rPr>
  </w:style>
  <w:style w:type="paragraph" w:styleId="776">
    <w:name w:val="Quote"/>
    <w:basedOn w:val="686"/>
    <w:next w:val="686"/>
    <w:link w:val="777"/>
    <w:uiPriority w:val="29"/>
    <w:qFormat/>
    <w:pPr>
      <w:ind w:left="720" w:right="720"/>
    </w:pPr>
    <w:rPr>
      <w:i/>
    </w:rPr>
  </w:style>
  <w:style w:type="character" w:styleId="777" w:customStyle="1">
    <w:name w:val="引用 Char"/>
    <w:link w:val="776"/>
    <w:uiPriority w:val="29"/>
    <w:qFormat/>
    <w:rPr>
      <w:i/>
    </w:rPr>
  </w:style>
  <w:style w:type="paragraph" w:styleId="778">
    <w:name w:val="Intense Quote"/>
    <w:basedOn w:val="686"/>
    <w:next w:val="686"/>
    <w:link w:val="77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9" w:customStyle="1">
    <w:name w:val="明显引用 Char"/>
    <w:link w:val="778"/>
    <w:uiPriority w:val="30"/>
    <w:qFormat/>
    <w:rPr>
      <w:i/>
    </w:rPr>
  </w:style>
  <w:style w:type="character" w:styleId="780" w:customStyle="1">
    <w:name w:val="Header Char"/>
    <w:basedOn w:val="696"/>
    <w:uiPriority w:val="99"/>
    <w:qFormat/>
  </w:style>
  <w:style w:type="character" w:styleId="781" w:customStyle="1">
    <w:name w:val="Footer Char"/>
    <w:basedOn w:val="696"/>
    <w:uiPriority w:val="99"/>
    <w:qFormat/>
  </w:style>
  <w:style w:type="character" w:styleId="782" w:customStyle="1">
    <w:name w:val="Caption Char"/>
    <w:uiPriority w:val="99"/>
    <w:qFormat/>
  </w:style>
  <w:style w:type="table" w:styleId="783" w:customStyle="1">
    <w:name w:val="Table Grid Light"/>
    <w:basedOn w:val="69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4" w:customStyle="1">
    <w:name w:val="Plain Table 1"/>
    <w:basedOn w:val="69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Plain Table 2"/>
    <w:basedOn w:val="69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Plain Table 3"/>
    <w:basedOn w:val="69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customStyle="1">
    <w:name w:val="Plain Table 4"/>
    <w:basedOn w:val="69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customStyle="1">
    <w:name w:val="Plain Table 5"/>
    <w:basedOn w:val="69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9" w:customStyle="1">
    <w:name w:val="Grid Table 1 Light"/>
    <w:basedOn w:val="69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1"/>
    <w:basedOn w:val="697"/>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2"/>
    <w:basedOn w:val="69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3"/>
    <w:basedOn w:val="69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4"/>
    <w:basedOn w:val="69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5"/>
    <w:basedOn w:val="697"/>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6"/>
    <w:basedOn w:val="69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96" w:customStyle="1">
    <w:name w:val="Grid Table 2"/>
    <w:basedOn w:val="69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7" w:customStyle="1">
    <w:name w:val="Grid Table 2 - Accent 1"/>
    <w:basedOn w:val="697"/>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798" w:customStyle="1">
    <w:name w:val="Grid Table 2 - Accent 2"/>
    <w:basedOn w:val="69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99" w:customStyle="1">
    <w:name w:val="Grid Table 2 - Accent 3"/>
    <w:basedOn w:val="69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00" w:customStyle="1">
    <w:name w:val="Grid Table 2 - Accent 4"/>
    <w:basedOn w:val="69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01" w:customStyle="1">
    <w:name w:val="Grid Table 2 - Accent 5"/>
    <w:basedOn w:val="697"/>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02" w:customStyle="1">
    <w:name w:val="Grid Table 2 - Accent 6"/>
    <w:basedOn w:val="697"/>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03" w:customStyle="1">
    <w:name w:val="Grid Table 3"/>
    <w:basedOn w:val="69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1"/>
    <w:basedOn w:val="697"/>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2"/>
    <w:basedOn w:val="69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3"/>
    <w:basedOn w:val="69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4"/>
    <w:basedOn w:val="69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5"/>
    <w:basedOn w:val="697"/>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6"/>
    <w:basedOn w:val="697"/>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4"/>
    <w:basedOn w:val="69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customStyle="1">
    <w:name w:val="Grid Table 4 - Accent 1"/>
    <w:basedOn w:val="697"/>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12" w:customStyle="1">
    <w:name w:val="Grid Table 4 - Accent 2"/>
    <w:basedOn w:val="69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13" w:customStyle="1">
    <w:name w:val="Grid Table 4 - Accent 3"/>
    <w:basedOn w:val="69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14" w:customStyle="1">
    <w:name w:val="Grid Table 4 - Accent 4"/>
    <w:basedOn w:val="697"/>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15" w:customStyle="1">
    <w:name w:val="Grid Table 4 - Accent 5"/>
    <w:basedOn w:val="697"/>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16" w:customStyle="1">
    <w:name w:val="Grid Table 4 - Accent 6"/>
    <w:basedOn w:val="69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17" w:customStyle="1">
    <w:name w:val="Grid Table 5 Dark"/>
    <w:basedOn w:val="6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8" w:customStyle="1">
    <w:name w:val="Grid Table 5 Dark- Accent 1"/>
    <w:basedOn w:val="6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19" w:customStyle="1">
    <w:name w:val="Grid Table 5 Dark - Accent 2"/>
    <w:basedOn w:val="6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20" w:customStyle="1">
    <w:name w:val="Grid Table 5 Dark - Accent 3"/>
    <w:basedOn w:val="6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21" w:customStyle="1">
    <w:name w:val="Grid Table 5 Dark- Accent 4"/>
    <w:basedOn w:val="6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22" w:customStyle="1">
    <w:name w:val="Grid Table 5 Dark - Accent 5"/>
    <w:basedOn w:val="6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23" w:customStyle="1">
    <w:name w:val="Grid Table 5 Dark - Accent 6"/>
    <w:basedOn w:val="6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24" w:customStyle="1">
    <w:name w:val="Grid Table 6 Colorful"/>
    <w:basedOn w:val="69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5" w:customStyle="1">
    <w:name w:val="Grid Table 6 Colorful - Accent 1"/>
    <w:basedOn w:val="697"/>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826" w:customStyle="1">
    <w:name w:val="Grid Table 6 Colorful - Accent 2"/>
    <w:basedOn w:val="69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27" w:customStyle="1">
    <w:name w:val="Grid Table 6 Colorful - Accent 3"/>
    <w:basedOn w:val="69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28" w:customStyle="1">
    <w:name w:val="Grid Table 6 Colorful - Accent 4"/>
    <w:basedOn w:val="69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29" w:customStyle="1">
    <w:name w:val="Grid Table 6 Colorful - Accent 5"/>
    <w:basedOn w:val="697"/>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30" w:customStyle="1">
    <w:name w:val="Grid Table 6 Colorful - Accent 6"/>
    <w:basedOn w:val="69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31" w:customStyle="1">
    <w:name w:val="Grid Table 7 Colorful"/>
    <w:basedOn w:val="69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2" w:customStyle="1">
    <w:name w:val="Grid Table 7 Colorful - Accent 1"/>
    <w:basedOn w:val="697"/>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833" w:customStyle="1">
    <w:name w:val="Grid Table 7 Colorful - Accent 2"/>
    <w:basedOn w:val="697"/>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34" w:customStyle="1">
    <w:name w:val="Grid Table 7 Colorful - Accent 3"/>
    <w:basedOn w:val="69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35" w:customStyle="1">
    <w:name w:val="Grid Table 7 Colorful - Accent 4"/>
    <w:basedOn w:val="697"/>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36" w:customStyle="1">
    <w:name w:val="Grid Table 7 Colorful - Accent 5"/>
    <w:basedOn w:val="697"/>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37" w:customStyle="1">
    <w:name w:val="Grid Table 7 Colorful - Accent 6"/>
    <w:basedOn w:val="69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38" w:customStyle="1">
    <w:name w:val="List Table 1 Light"/>
    <w:basedOn w:val="697"/>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customStyle="1">
    <w:name w:val="List Table 1 Light - Accent 1"/>
    <w:basedOn w:val="697"/>
    <w:uiPriority w:val="99"/>
    <w:qFormat/>
    <w:tblPr>
      <w:tblCellMar>
        <w:left w:w="108" w:type="dxa"/>
        <w:top w:w="0" w:type="dxa"/>
        <w:right w:w="108" w:type="dxa"/>
        <w:bottom w:w="0" w:type="dxa"/>
      </w:tblCellMa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40" w:customStyle="1">
    <w:name w:val="List Table 1 Light - Accent 2"/>
    <w:basedOn w:val="697"/>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41" w:customStyle="1">
    <w:name w:val="List Table 1 Light - Accent 3"/>
    <w:basedOn w:val="697"/>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42" w:customStyle="1">
    <w:name w:val="List Table 1 Light - Accent 4"/>
    <w:basedOn w:val="697"/>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43" w:customStyle="1">
    <w:name w:val="List Table 1 Light - Accent 5"/>
    <w:basedOn w:val="697"/>
    <w:uiPriority w:val="99"/>
    <w:qFormat/>
    <w:tblPr>
      <w:tblCellMar>
        <w:left w:w="108" w:type="dxa"/>
        <w:top w:w="0" w:type="dxa"/>
        <w:right w:w="108"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44" w:customStyle="1">
    <w:name w:val="List Table 1 Light - Accent 6"/>
    <w:basedOn w:val="697"/>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45" w:customStyle="1">
    <w:name w:val="List Table 2"/>
    <w:basedOn w:val="69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6" w:customStyle="1">
    <w:name w:val="List Table 2 - Accent 1"/>
    <w:basedOn w:val="697"/>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47" w:customStyle="1">
    <w:name w:val="List Table 2 - Accent 2"/>
    <w:basedOn w:val="69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48" w:customStyle="1">
    <w:name w:val="List Table 2 - Accent 3"/>
    <w:basedOn w:val="69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49" w:customStyle="1">
    <w:name w:val="List Table 2 - Accent 4"/>
    <w:basedOn w:val="697"/>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50" w:customStyle="1">
    <w:name w:val="List Table 2 - Accent 5"/>
    <w:basedOn w:val="697"/>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51" w:customStyle="1">
    <w:name w:val="List Table 2 - Accent 6"/>
    <w:basedOn w:val="69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52" w:customStyle="1">
    <w:name w:val="List Table 3"/>
    <w:basedOn w:val="69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3" w:customStyle="1">
    <w:name w:val="List Table 3 - Accent 1"/>
    <w:basedOn w:val="697"/>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54" w:customStyle="1">
    <w:name w:val="List Table 3 - Accent 2"/>
    <w:basedOn w:val="69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55" w:customStyle="1">
    <w:name w:val="List Table 3 - Accent 3"/>
    <w:basedOn w:val="69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56" w:customStyle="1">
    <w:name w:val="List Table 3 - Accent 4"/>
    <w:basedOn w:val="69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57" w:customStyle="1">
    <w:name w:val="List Table 3 - Accent 5"/>
    <w:basedOn w:val="697"/>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58" w:customStyle="1">
    <w:name w:val="List Table 3 - Accent 6"/>
    <w:basedOn w:val="69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59" w:customStyle="1">
    <w:name w:val="List Table 4"/>
    <w:basedOn w:val="69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0" w:customStyle="1">
    <w:name w:val="List Table 4 - Accent 1"/>
    <w:basedOn w:val="697"/>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61" w:customStyle="1">
    <w:name w:val="List Table 4 - Accent 2"/>
    <w:basedOn w:val="69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62" w:customStyle="1">
    <w:name w:val="List Table 4 - Accent 3"/>
    <w:basedOn w:val="69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63" w:customStyle="1">
    <w:name w:val="List Table 4 - Accent 4"/>
    <w:basedOn w:val="697"/>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64" w:customStyle="1">
    <w:name w:val="List Table 4 - Accent 5"/>
    <w:basedOn w:val="697"/>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865" w:customStyle="1">
    <w:name w:val="List Table 4 - Accent 6"/>
    <w:basedOn w:val="69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66" w:customStyle="1">
    <w:name w:val="List Table 5 Dark"/>
    <w:basedOn w:val="69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1"/>
    <w:basedOn w:val="697"/>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108" w:type="dxa"/>
        <w:top w:w="0" w:type="dxa"/>
        <w:right w:w="108"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2"/>
    <w:basedOn w:val="697"/>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3"/>
    <w:basedOn w:val="69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4"/>
    <w:basedOn w:val="697"/>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5"/>
    <w:basedOn w:val="697"/>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108" w:type="dxa"/>
        <w:top w:w="0" w:type="dxa"/>
        <w:right w:w="108"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6"/>
    <w:basedOn w:val="69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6 Colorful"/>
    <w:basedOn w:val="697"/>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4" w:customStyle="1">
    <w:name w:val="List Table 6 Colorful - Accent 1"/>
    <w:basedOn w:val="697"/>
    <w:uiPriority w:val="99"/>
    <w:qFormat/>
    <w:tblPr>
      <w:tblBorders>
        <w:top w:val="single" w:color="4472C4" w:themeColor="accent1" w:sz="4" w:space="0"/>
        <w:bottom w:val="single" w:color="4472C4" w:themeColor="accent1" w:sz="4" w:space="0"/>
      </w:tblBorders>
      <w:tblCellMar>
        <w:left w:w="108" w:type="dxa"/>
        <w:top w:w="0" w:type="dxa"/>
        <w:right w:w="108"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875" w:customStyle="1">
    <w:name w:val="List Table 6 Colorful - Accent 2"/>
    <w:basedOn w:val="697"/>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76" w:customStyle="1">
    <w:name w:val="List Table 6 Colorful - Accent 3"/>
    <w:basedOn w:val="697"/>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77" w:customStyle="1">
    <w:name w:val="List Table 6 Colorful - Accent 4"/>
    <w:basedOn w:val="697"/>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78" w:customStyle="1">
    <w:name w:val="List Table 6 Colorful - Accent 5"/>
    <w:basedOn w:val="697"/>
    <w:uiPriority w:val="99"/>
    <w:qFormat/>
    <w:tblPr>
      <w:tblBorders>
        <w:top w:val="single" w:color="9BC2E5" w:themeColor="accent5" w:themeTint="9A" w:sz="4" w:space="0"/>
        <w:bottom w:val="single" w:color="9BC2E5" w:themeColor="accent5" w:themeTint="9A" w:sz="4" w:space="0"/>
      </w:tblBorders>
      <w:tblCellMar>
        <w:left w:w="108" w:type="dxa"/>
        <w:top w:w="0" w:type="dxa"/>
        <w:right w:w="108"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879" w:customStyle="1">
    <w:name w:val="List Table 6 Colorful - Accent 6"/>
    <w:basedOn w:val="697"/>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80" w:customStyle="1">
    <w:name w:val="List Table 7 Colorful"/>
    <w:basedOn w:val="697"/>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1" w:customStyle="1">
    <w:name w:val="List Table 7 Colorful - Accent 1"/>
    <w:basedOn w:val="697"/>
    <w:uiPriority w:val="99"/>
    <w:qFormat/>
    <w:tblPr>
      <w:tblBorders>
        <w:right w:val="single" w:color="4472C4" w:themeColor="accent1" w:sz="4" w:space="0"/>
      </w:tblBorders>
      <w:tblCellMar>
        <w:left w:w="108" w:type="dxa"/>
        <w:top w:w="0" w:type="dxa"/>
        <w:right w:w="108"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882" w:customStyle="1">
    <w:name w:val="List Table 7 Colorful - Accent 2"/>
    <w:basedOn w:val="697"/>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3" w:customStyle="1">
    <w:name w:val="List Table 7 Colorful - Accent 3"/>
    <w:basedOn w:val="697"/>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84" w:customStyle="1">
    <w:name w:val="List Table 7 Colorful - Accent 4"/>
    <w:basedOn w:val="697"/>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5" w:customStyle="1">
    <w:name w:val="List Table 7 Colorful - Accent 5"/>
    <w:basedOn w:val="697"/>
    <w:uiPriority w:val="99"/>
    <w:qFormat/>
    <w:tblPr>
      <w:tblBorders>
        <w:right w:val="single" w:color="9BC2E5" w:themeColor="accent5" w:themeTint="9A" w:sz="4" w:space="0"/>
      </w:tblBorders>
      <w:tblCellMar>
        <w:left w:w="108" w:type="dxa"/>
        <w:top w:w="0" w:type="dxa"/>
        <w:right w:w="108"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886" w:customStyle="1">
    <w:name w:val="List Table 7 Colorful - Accent 6"/>
    <w:basedOn w:val="697"/>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87" w:customStyle="1">
    <w:name w:val="Lined - Accent"/>
    <w:basedOn w:val="69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8" w:customStyle="1">
    <w:name w:val="Lined - Accent 1"/>
    <w:basedOn w:val="69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89" w:customStyle="1">
    <w:name w:val="Lined - Accent 2"/>
    <w:basedOn w:val="69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0" w:customStyle="1">
    <w:name w:val="Lined - Accent 3"/>
    <w:basedOn w:val="69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1" w:customStyle="1">
    <w:name w:val="Lined - Accent 4"/>
    <w:basedOn w:val="69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2" w:customStyle="1">
    <w:name w:val="Lined - Accent 5"/>
    <w:basedOn w:val="69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893" w:customStyle="1">
    <w:name w:val="Lined - Accent 6"/>
    <w:basedOn w:val="69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4" w:customStyle="1">
    <w:name w:val="Bordered &amp; Lined - Accent"/>
    <w:basedOn w:val="69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5" w:customStyle="1">
    <w:name w:val="Bordered &amp; Lined - Accent 1"/>
    <w:basedOn w:val="697"/>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96" w:customStyle="1">
    <w:name w:val="Bordered &amp; Lined - Accent 2"/>
    <w:basedOn w:val="69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7" w:customStyle="1">
    <w:name w:val="Bordered &amp; Lined - Accent 3"/>
    <w:basedOn w:val="69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8" w:customStyle="1">
    <w:name w:val="Bordered &amp; Lined - Accent 4"/>
    <w:basedOn w:val="697"/>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9" w:customStyle="1">
    <w:name w:val="Bordered &amp; Lined - Accent 5"/>
    <w:basedOn w:val="697"/>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00" w:customStyle="1">
    <w:name w:val="Bordered &amp; Lined - Accent 6"/>
    <w:basedOn w:val="697"/>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1" w:customStyle="1">
    <w:name w:val="Bordered"/>
    <w:basedOn w:val="69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2" w:customStyle="1">
    <w:name w:val="Bordered - Accent 1"/>
    <w:basedOn w:val="697"/>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03" w:customStyle="1">
    <w:name w:val="Bordered - Accent 2"/>
    <w:basedOn w:val="69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04" w:customStyle="1">
    <w:name w:val="Bordered - Accent 3"/>
    <w:basedOn w:val="69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05" w:customStyle="1">
    <w:name w:val="Bordered - Accent 4"/>
    <w:basedOn w:val="69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06" w:customStyle="1">
    <w:name w:val="Bordered - Accent 5"/>
    <w:basedOn w:val="697"/>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07" w:customStyle="1">
    <w:name w:val="Bordered - Accent 6"/>
    <w:basedOn w:val="69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08" w:customStyle="1">
    <w:name w:val="Footnote Text Char"/>
    <w:uiPriority w:val="99"/>
    <w:qFormat/>
    <w:rPr>
      <w:sz w:val="18"/>
    </w:rPr>
  </w:style>
  <w:style w:type="character" w:styleId="909" w:customStyle="1">
    <w:name w:val="尾注文本 Char"/>
    <w:link w:val="715"/>
    <w:uiPriority w:val="99"/>
    <w:qFormat/>
    <w:rPr>
      <w:sz w:val="20"/>
    </w:rPr>
  </w:style>
  <w:style w:type="paragraph" w:styleId="910" w:customStyle="1">
    <w:name w:val="TOC 标题111"/>
    <w:uiPriority w:val="39"/>
    <w:unhideWhenUsed/>
    <w:qFormat/>
    <w:rPr>
      <w:rFonts w:hint="default" w:ascii="Times New Roman" w:hAnsi="Times New Roman" w:eastAsia="宋体" w:cs="Times New Roman"/>
      <w:lang w:val="en-US" w:eastAsia="zh-CN" w:bidi="ar-SA"/>
    </w:rPr>
  </w:style>
  <w:style w:type="paragraph" w:styleId="911" w:customStyle="1">
    <w:name w:val="正文首行缩进11"/>
    <w:basedOn w:val="912"/>
    <w:next w:val="686"/>
    <w:uiPriority w:val="99"/>
    <w:unhideWhenUsed/>
    <w:qFormat/>
    <w:pPr>
      <w:ind w:firstLine="420"/>
    </w:pPr>
    <w:rPr>
      <w:szCs w:val="24"/>
    </w:rPr>
  </w:style>
  <w:style w:type="paragraph" w:styleId="912" w:customStyle="1">
    <w:name w:val="正文文本111"/>
    <w:basedOn w:val="686"/>
    <w:next w:val="686"/>
    <w:uiPriority w:val="0"/>
    <w:qFormat/>
    <w:rPr>
      <w:rFonts w:eastAsia="楷体_GB2312"/>
      <w:b/>
      <w:bCs/>
      <w:color w:val="ff0000"/>
      <w:sz w:val="32"/>
      <w:szCs w:val="32"/>
      <w:lang w:val="zh-CN"/>
    </w:rPr>
  </w:style>
  <w:style w:type="paragraph" w:styleId="913" w:customStyle="1">
    <w:name w:val="Default"/>
    <w:next w:val="914"/>
    <w:uiPriority w:val="0"/>
    <w:qFormat/>
    <w:pPr>
      <w:widowControl w:val="off"/>
    </w:pPr>
    <w:rPr>
      <w:rFonts w:hint="default" w:ascii="宋体" w:hAnsi="Times New Roman" w:eastAsia="宋体" w:cs="宋体"/>
      <w:color w:val="000000"/>
      <w:sz w:val="24"/>
      <w:szCs w:val="24"/>
      <w:lang w:val="en-US" w:eastAsia="zh-CN" w:bidi="ar-SA"/>
    </w:rPr>
  </w:style>
  <w:style w:type="paragraph" w:styleId="914" w:customStyle="1">
    <w:name w:val="toc 21"/>
    <w:next w:val="686"/>
    <w:uiPriority w:val="0"/>
    <w:qFormat/>
    <w:pPr>
      <w:ind w:left="425"/>
      <w:jc w:val="both"/>
    </w:pPr>
    <w:rPr>
      <w:rFonts w:hint="default" w:ascii="Times New Roman" w:hAnsi="Times New Roman" w:eastAsia="宋体" w:cs="Times New Roman"/>
      <w:sz w:val="21"/>
      <w:lang w:val="en-US" w:eastAsia="zh-CN" w:bidi="ar-SA"/>
    </w:rPr>
  </w:style>
  <w:style w:type="character" w:styleId="915" w:customStyle="1">
    <w:name w:val="标题 1 Char"/>
    <w:link w:val="687"/>
    <w:uiPriority w:val="0"/>
    <w:qFormat/>
    <w:rPr>
      <w:rFonts w:ascii="楷体_GB2312" w:hAnsi="楷体_GB2312" w:eastAsia="宋体"/>
      <w:b/>
      <w:sz w:val="44"/>
      <w:lang w:val="en-US" w:eastAsia="zh-CN" w:bidi="ar-SA"/>
    </w:rPr>
  </w:style>
  <w:style w:type="character" w:styleId="916" w:customStyle="1">
    <w:name w:val="正文缩进 Char"/>
    <w:link w:val="699"/>
    <w:uiPriority w:val="0"/>
    <w:qFormat/>
    <w:rPr>
      <w:rFonts w:eastAsia="宋体"/>
      <w:sz w:val="21"/>
      <w:lang w:val="en-US" w:eastAsia="zh-CN" w:bidi="ar-SA"/>
    </w:rPr>
  </w:style>
  <w:style w:type="character" w:styleId="917" w:customStyle="1">
    <w:name w:val="批注文字 Char"/>
    <w:link w:val="703"/>
    <w:uiPriority w:val="99"/>
    <w:qFormat/>
    <w:rPr>
      <w:sz w:val="21"/>
      <w:szCs w:val="24"/>
    </w:rPr>
  </w:style>
  <w:style w:type="character" w:styleId="918" w:customStyle="1">
    <w:name w:val="纯文本 Char"/>
    <w:link w:val="711"/>
    <w:uiPriority w:val="0"/>
    <w:qFormat/>
    <w:rPr>
      <w:rFonts w:ascii="宋体" w:hAnsi="Courier New"/>
      <w:sz w:val="21"/>
    </w:rPr>
  </w:style>
  <w:style w:type="character" w:styleId="919" w:customStyle="1">
    <w:name w:val="副标题 Char"/>
    <w:link w:val="721"/>
    <w:uiPriority w:val="0"/>
    <w:qFormat/>
    <w:rPr>
      <w:rFonts w:ascii="Cambria" w:hAnsi="Cambria"/>
      <w:b/>
      <w:bCs/>
      <w:sz w:val="32"/>
      <w:szCs w:val="32"/>
    </w:rPr>
  </w:style>
  <w:style w:type="character" w:styleId="920" w:customStyle="1">
    <w:name w:val="HTML 预设格式 Char"/>
    <w:link w:val="730"/>
    <w:uiPriority w:val="0"/>
    <w:qFormat/>
    <w:rPr>
      <w:rFonts w:ascii="黑体" w:hAnsi="Courier New" w:eastAsia="黑体" w:cs="Courier New"/>
    </w:rPr>
  </w:style>
  <w:style w:type="character" w:styleId="921" w:customStyle="1">
    <w:name w:val="批注主题 Char"/>
    <w:link w:val="734"/>
    <w:uiPriority w:val="0"/>
    <w:qFormat/>
    <w:rPr>
      <w:b/>
      <w:bCs/>
      <w:sz w:val="21"/>
      <w:szCs w:val="24"/>
    </w:rPr>
  </w:style>
  <w:style w:type="character" w:styleId="922" w:customStyle="1">
    <w:name w:val="标题2 Char"/>
    <w:uiPriority w:val="0"/>
    <w:qFormat/>
    <w:rPr>
      <w:rFonts w:ascii="方正楷体_GBK" w:hAnsi="Book Antiqua" w:eastAsia="方正楷体_GBK"/>
      <w:sz w:val="32"/>
      <w:lang w:val="en-US" w:eastAsia="zh-CN" w:bidi="ar-SA"/>
    </w:rPr>
  </w:style>
  <w:style w:type="character" w:styleId="923" w:customStyle="1">
    <w:name w:val="MSG_EN_FONT_STYLE_NAME_TEMPLATE_ROLE_NUMBER MSG_EN_FONT_STYLE_NAME_BY_ROLE_TEXT 2 + MSG_EN_FONT_STYLE_MODIFER_NAME PMingLiU"/>
    <w:uiPriority w:val="99"/>
    <w:qFormat/>
    <w:rPr>
      <w:rFonts w:hint="eastAsia" w:ascii="PMingLiU" w:hAnsi="PMingLiU" w:eastAsia="PMingLiU" w:cs="PMingLiU"/>
      <w:spacing w:val="30"/>
      <w:sz w:val="17"/>
      <w:szCs w:val="17"/>
      <w:u w:val="none"/>
    </w:rPr>
  </w:style>
  <w:style w:type="character" w:styleId="924" w:customStyle="1">
    <w:name w:val="jj1"/>
    <w:uiPriority w:val="0"/>
    <w:qFormat/>
    <w:rPr>
      <w:sz w:val="20"/>
      <w:szCs w:val="20"/>
      <w:u w:val="none"/>
    </w:rPr>
  </w:style>
  <w:style w:type="character" w:styleId="925" w:customStyle="1">
    <w:name w:val="列出段落 Char"/>
    <w:link w:val="926"/>
    <w:uiPriority w:val="0"/>
    <w:qFormat/>
    <w:rPr>
      <w:rFonts w:ascii="Calibri" w:hAnsi="Calibri"/>
      <w:sz w:val="24"/>
      <w:szCs w:val="24"/>
      <w:lang w:eastAsia="en-US" w:bidi="en-US"/>
    </w:rPr>
  </w:style>
  <w:style w:type="paragraph" w:styleId="926" w:customStyle="1">
    <w:name w:val="列出段落1"/>
    <w:basedOn w:val="686"/>
    <w:link w:val="925"/>
    <w:uiPriority w:val="0"/>
    <w:qFormat/>
    <w:pPr>
      <w:contextualSpacing/>
      <w:ind w:left="720"/>
      <w:jc w:val="left"/>
      <w:widowControl/>
    </w:pPr>
    <w:rPr>
      <w:rFonts w:ascii="Calibri" w:hAnsi="Calibri"/>
      <w:sz w:val="24"/>
      <w:lang w:eastAsia="en-US" w:bidi="en-US"/>
    </w:rPr>
  </w:style>
  <w:style w:type="character" w:styleId="927" w:customStyle="1">
    <w:name w:val="MSG_EN_FONT_STYLE_NAME_TEMPLATE_ROLE_NUMBER MSG_EN_FONT_STYLE_NAME_BY_ROLE_TEXT 2 + MSG_EN_FONT_STYLE_MODIFER_SIZE 8"/>
    <w:uiPriority w:val="99"/>
    <w:qFormat/>
    <w:rPr>
      <w:rFonts w:hint="eastAsia" w:ascii="PMingLiU" w:hAnsi="PMingLiU" w:eastAsia="PMingLiU" w:cs="PMingLiU"/>
      <w:spacing w:val="10"/>
      <w:sz w:val="16"/>
      <w:szCs w:val="16"/>
      <w:u w:val="none"/>
    </w:rPr>
  </w:style>
  <w:style w:type="paragraph" w:styleId="928" w:customStyle="1">
    <w:name w:val="第四级"/>
    <w:basedOn w:val="686"/>
    <w:next w:val="686"/>
    <w:uiPriority w:val="0"/>
    <w:qFormat/>
    <w:pPr>
      <w:numPr>
        <w:ilvl w:val="3"/>
        <w:numId w:val="1"/>
      </w:numPr>
      <w:spacing w:line="360" w:lineRule="auto"/>
    </w:pPr>
    <w:rPr>
      <w:rFonts w:ascii="宋体" w:hAnsi="宋体" w:eastAsia="仿宋"/>
      <w:sz w:val="28"/>
      <w:szCs w:val="21"/>
    </w:rPr>
  </w:style>
  <w:style w:type="paragraph" w:styleId="929" w:customStyle="1">
    <w:name w:val="正文空2格  1."/>
    <w:basedOn w:val="686"/>
    <w:uiPriority w:val="0"/>
    <w:qFormat/>
    <w:pPr>
      <w:ind w:firstLine="480"/>
      <w:spacing w:line="360" w:lineRule="auto"/>
    </w:pPr>
    <w:rPr>
      <w:rFonts w:ascii="宋体" w:eastAsia="仿宋" w:cs="宋体"/>
      <w:sz w:val="28"/>
      <w:szCs w:val="20"/>
    </w:rPr>
  </w:style>
  <w:style w:type="paragraph" w:styleId="930" w:customStyle="1">
    <w:name w:val="普通正文"/>
    <w:basedOn w:val="686"/>
    <w:uiPriority w:val="0"/>
    <w:qFormat/>
    <w:pPr>
      <w:ind w:firstLine="480"/>
      <w:jc w:val="left"/>
      <w:spacing w:before="120" w:after="120" w:line="360" w:lineRule="auto"/>
    </w:pPr>
    <w:rPr>
      <w:rFonts w:ascii="Arial" w:hAnsi="Arial"/>
      <w:sz w:val="24"/>
    </w:rPr>
  </w:style>
  <w:style w:type="paragraph" w:styleId="931" w:customStyle="1">
    <w:name w:val="MSG_EN_FONT_STYLE_NAME_TEMPLATE_ROLE_NUMBER MSG_EN_FONT_STYLE_NAME_BY_ROLE_TEXT 2"/>
    <w:basedOn w:val="686"/>
    <w:uiPriority w:val="99"/>
    <w:unhideWhenUsed/>
    <w:qFormat/>
    <w:pPr>
      <w:ind w:firstLine="480"/>
      <w:spacing w:before="300" w:line="439" w:lineRule="exact"/>
      <w:shd w:val="clear" w:color="auto" w:fill="ffffff"/>
    </w:pPr>
    <w:rPr>
      <w:rFonts w:hint="eastAsia" w:ascii="PMingLiU" w:hAnsi="PMingLiU" w:eastAsia="PMingLiU"/>
      <w:spacing w:val="10"/>
      <w:sz w:val="22"/>
    </w:rPr>
  </w:style>
  <w:style w:type="paragraph" w:styleId="932" w:customStyle="1">
    <w:name w:val="_Style 3"/>
    <w:uiPriority w:val="1"/>
    <w:qFormat/>
    <w:pPr>
      <w:jc w:val="both"/>
      <w:widowControl w:val="off"/>
    </w:pPr>
    <w:rPr>
      <w:rFonts w:hint="default" w:ascii="Times New Roman" w:hAnsi="Times New Roman" w:eastAsia="宋体" w:cs="Times New Roman"/>
      <w:sz w:val="21"/>
      <w:szCs w:val="22"/>
      <w:lang w:val="en-US" w:eastAsia="zh-CN" w:bidi="ar-SA"/>
    </w:rPr>
  </w:style>
  <w:style w:type="paragraph" w:styleId="933" w:customStyle="1">
    <w:name w:val="正文（缩进）"/>
    <w:basedOn w:val="686"/>
    <w:uiPriority w:val="0"/>
    <w:qFormat/>
    <w:pPr>
      <w:ind w:firstLine="480"/>
      <w:spacing w:before="156" w:after="156"/>
    </w:pPr>
  </w:style>
  <w:style w:type="paragraph" w:styleId="934" w:customStyle="1">
    <w:name w:val="段"/>
    <w:uiPriority w:val="0"/>
    <w:qFormat/>
    <w:pPr>
      <w:ind w:firstLine="200"/>
      <w:jc w:val="both"/>
    </w:pPr>
    <w:rPr>
      <w:rFonts w:hint="default" w:ascii="宋体" w:hAnsi="Calibri" w:eastAsia="宋体" w:cs="Times New Roman"/>
      <w:sz w:val="21"/>
      <w:lang w:val="en-US" w:eastAsia="zh-CN" w:bidi="ar-SA"/>
    </w:rPr>
  </w:style>
  <w:style w:type="paragraph" w:styleId="935" w:customStyle="1">
    <w:name w:val="标题2"/>
    <w:basedOn w:val="686"/>
    <w:next w:val="686"/>
    <w:uiPriority w:val="0"/>
    <w:qFormat/>
    <w:pPr>
      <w:jc w:val="center"/>
    </w:pPr>
    <w:rPr>
      <w:rFonts w:eastAsia="方正楷体_GBK"/>
    </w:rPr>
  </w:style>
  <w:style w:type="paragraph" w:styleId="936" w:customStyle="1">
    <w:name w:val="HTML 预先格式化"/>
    <w:basedOn w:val="68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37" w:customStyle="1">
    <w:name w:val="Char Char Char Char1 Char Char"/>
    <w:basedOn w:val="686"/>
    <w:uiPriority w:val="0"/>
    <w:qFormat/>
    <w:pPr>
      <w:tabs>
        <w:tab w:val="left" w:pos="360" w:leader="none"/>
      </w:tabs>
    </w:pPr>
    <w:rPr>
      <w:sz w:val="24"/>
    </w:rPr>
  </w:style>
  <w:style w:type="paragraph" w:styleId="938" w:customStyle="1">
    <w:name w:val="默认段落字体 Para Char Char Char Char Char Char Char Char Char1 Char Char Char Char Char Char Char"/>
    <w:basedOn w:val="702"/>
    <w:uiPriority w:val="0"/>
    <w:qFormat/>
    <w:rPr>
      <w:rFonts w:ascii="Tahoma" w:hAnsi="Tahoma"/>
      <w:sz w:val="24"/>
    </w:rPr>
  </w:style>
  <w:style w:type="paragraph" w:styleId="939" w:customStyle="1">
    <w:name w:val="WPSOffice手动目录 1"/>
    <w:uiPriority w:val="0"/>
    <w:qFormat/>
    <w:rPr>
      <w:rFonts w:hint="default" w:ascii="Times New Roman" w:hAnsi="Times New Roman" w:eastAsia="宋体" w:cs="Times New Roman"/>
      <w:lang w:val="en-US" w:eastAsia="zh-CN" w:bidi="ar-SA"/>
    </w:rPr>
  </w:style>
  <w:style w:type="paragraph" w:styleId="940" w:customStyle="1">
    <w:name w:val="Char Char Char Char"/>
    <w:basedOn w:val="702"/>
    <w:uiPriority w:val="0"/>
    <w:qFormat/>
    <w:pPr>
      <w:spacing w:line="360" w:lineRule="auto"/>
    </w:pPr>
    <w:rPr>
      <w:rFonts w:ascii="Tahoma" w:hAnsi="Tahoma"/>
      <w:sz w:val="24"/>
    </w:rPr>
  </w:style>
  <w:style w:type="paragraph" w:styleId="941" w:customStyle="1">
    <w:name w:val="Char"/>
    <w:basedOn w:val="686"/>
    <w:uiPriority w:val="0"/>
    <w:qFormat/>
    <w:pPr>
      <w:tabs>
        <w:tab w:val="left" w:pos="360" w:leader="none"/>
      </w:tabs>
    </w:pPr>
    <w:rPr>
      <w:sz w:val="24"/>
    </w:rPr>
  </w:style>
  <w:style w:type="paragraph" w:styleId="942" w:customStyle="1">
    <w:name w:val="正文 1.1.1"/>
    <w:basedOn w:val="686"/>
    <w:next w:val="686"/>
    <w:uiPriority w:val="0"/>
    <w:qFormat/>
    <w:pPr>
      <w:numPr>
        <w:ilvl w:val="2"/>
        <w:numId w:val="1"/>
      </w:numPr>
      <w:spacing w:line="360" w:lineRule="auto"/>
      <w:outlineLvl w:val="2"/>
    </w:pPr>
    <w:rPr>
      <w:rFonts w:ascii="宋体" w:hAnsi="宋体"/>
      <w:color w:val="000000"/>
      <w:sz w:val="28"/>
      <w:szCs w:val="21"/>
    </w:rPr>
  </w:style>
  <w:style w:type="paragraph" w:styleId="943" w:customStyle="1">
    <w:name w:val="正文 1.1"/>
    <w:basedOn w:val="686"/>
    <w:next w:val="942"/>
    <w:uiPriority w:val="0"/>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944" w:customStyle="1">
    <w:name w:val="正文 第一章"/>
    <w:basedOn w:val="686"/>
    <w:next w:val="943"/>
    <w:uiPriority w:val="0"/>
    <w:qFormat/>
    <w:pPr>
      <w:numPr>
        <w:ilvl w:val="0"/>
        <w:numId w:val="1"/>
      </w:numPr>
      <w:jc w:val="center"/>
      <w:pageBreakBefore/>
      <w:spacing w:before="240" w:after="240" w:line="480" w:lineRule="auto"/>
      <w:outlineLvl w:val="0"/>
    </w:pPr>
    <w:rPr>
      <w:rFonts w:ascii="黑体" w:hAnsi="宋体" w:eastAsia="黑体"/>
      <w:sz w:val="36"/>
      <w:szCs w:val="21"/>
    </w:rPr>
  </w:style>
  <w:style w:type="paragraph" w:styleId="945">
    <w:name w:val="List Paragraph"/>
    <w:basedOn w:val="686"/>
    <w:uiPriority w:val="34"/>
    <w:qFormat/>
    <w:pPr>
      <w:ind w:firstLine="420"/>
    </w:pPr>
    <w:rPr>
      <w:rFonts w:ascii="Calibri" w:hAnsi="Calibri"/>
      <w:szCs w:val="22"/>
    </w:rPr>
  </w:style>
  <w:style w:type="paragraph" w:styleId="946"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947"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48" w:customStyle="1">
    <w:name w:val="Char1"/>
    <w:basedOn w:val="686"/>
    <w:uiPriority w:val="0"/>
    <w:qFormat/>
    <w:rPr>
      <w:rFonts w:ascii="Tahoma" w:hAnsi="Tahoma"/>
      <w:sz w:val="24"/>
      <w:szCs w:val="20"/>
    </w:rPr>
  </w:style>
  <w:style w:type="paragraph" w:styleId="949" w:customStyle="1">
    <w:name w:val="Coms Alinea"/>
    <w:uiPriority w:val="0"/>
    <w:qFormat/>
    <w:pPr>
      <w:widowControl w:val="off"/>
    </w:pPr>
    <w:rPr>
      <w:rFonts w:hint="default" w:ascii="Arial" w:hAnsi="Arial" w:eastAsia="宋体" w:cs="Arial"/>
      <w:lang w:val="en-US" w:eastAsia="zh-CN" w:bidi="ar-SA"/>
    </w:rPr>
  </w:style>
  <w:style w:type="paragraph" w:styleId="950" w:customStyle="1">
    <w:name w:val="Char Char Char Char1 Char Char Char"/>
    <w:basedOn w:val="702"/>
    <w:uiPriority w:val="0"/>
    <w:qFormat/>
    <w:pPr>
      <w:spacing w:line="360" w:lineRule="auto"/>
    </w:pPr>
    <w:rPr>
      <w:rFonts w:ascii="Tahoma" w:hAnsi="Tahoma"/>
      <w:sz w:val="24"/>
    </w:rPr>
  </w:style>
  <w:style w:type="paragraph" w:styleId="951" w:customStyle="1">
    <w:name w:val="Table Text"/>
    <w:uiPriority w:val="0"/>
    <w:qFormat/>
    <w:pPr>
      <w:jc w:val="center"/>
      <w:spacing w:after="80"/>
    </w:pPr>
    <w:rPr>
      <w:rFonts w:hint="default" w:ascii="仿宋_GB2312" w:hAnsi="宋体" w:eastAsia="仿宋_GB2312" w:cs="Times New Roman"/>
      <w:sz w:val="24"/>
      <w:lang w:val="en-US" w:eastAsia="zh-CN" w:bidi="ar-SA"/>
    </w:rPr>
  </w:style>
  <w:style w:type="paragraph" w:styleId="952" w:customStyle="1">
    <w:name w:val="BioQuote Tekst"/>
    <w:basedOn w:val="686"/>
    <w:uiPriority w:val="0"/>
    <w:qFormat/>
    <w:pPr>
      <w:ind w:right="-1"/>
    </w:pPr>
    <w:rPr>
      <w:rFonts w:ascii="Arial" w:hAnsi="Arial"/>
      <w:sz w:val="22"/>
      <w:szCs w:val="20"/>
      <w:lang w:eastAsia="en-US"/>
    </w:rPr>
  </w:style>
  <w:style w:type="paragraph" w:styleId="953" w:customStyle="1">
    <w:name w:val="xl47"/>
    <w:basedOn w:val="686"/>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954" w:customStyle="1">
    <w:name w:val="纯文本2"/>
    <w:basedOn w:val="686"/>
    <w:uiPriority w:val="0"/>
    <w:qFormat/>
    <w:rPr>
      <w:rFonts w:ascii="宋体" w:hAnsi="Courier New" w:eastAsia="楷体_GB2312"/>
      <w:sz w:val="26"/>
      <w:szCs w:val="20"/>
    </w:rPr>
  </w:style>
  <w:style w:type="paragraph" w:styleId="955" w:customStyle="1">
    <w:name w:val="标题1"/>
    <w:basedOn w:val="686"/>
    <w:next w:val="686"/>
    <w:uiPriority w:val="0"/>
    <w:qFormat/>
    <w:pPr>
      <w:jc w:val="center"/>
      <w:spacing w:line="700" w:lineRule="atLeast"/>
      <w:tabs>
        <w:tab w:val="left" w:pos="9193" w:leader="none"/>
        <w:tab w:val="left" w:pos="9827" w:leader="none"/>
      </w:tabs>
    </w:pPr>
    <w:rPr>
      <w:rFonts w:eastAsia="方正小标宋_GBK"/>
      <w:sz w:val="44"/>
    </w:rPr>
  </w:style>
  <w:style w:type="paragraph" w:styleId="956" w:customStyle="1">
    <w:name w:val="TOC 标题11"/>
    <w:basedOn w:val="687"/>
    <w:next w:val="686"/>
    <w:uiPriority w:val="39"/>
    <w:qFormat/>
    <w:pPr>
      <w:jc w:val="left"/>
      <w:keepLines/>
      <w:spacing w:before="480" w:line="276" w:lineRule="auto"/>
      <w:outlineLvl w:val="9"/>
    </w:pPr>
    <w:rPr>
      <w:rFonts w:ascii="Cambria" w:hAnsi="Cambria"/>
      <w:b w:val="0"/>
      <w:bCs/>
      <w:color w:val="365f91"/>
      <w:szCs w:val="28"/>
    </w:rPr>
  </w:style>
  <w:style w:type="paragraph" w:styleId="957" w:customStyle="1">
    <w:name w:val="标题3"/>
    <w:basedOn w:val="686"/>
    <w:next w:val="686"/>
    <w:uiPriority w:val="0"/>
    <w:qFormat/>
    <w:rPr>
      <w:rFonts w:eastAsia="方正黑体_GBK"/>
    </w:rPr>
  </w:style>
  <w:style w:type="paragraph" w:styleId="958" w:customStyle="1">
    <w:name w:val="纯文本1"/>
    <w:basedOn w:val="686"/>
    <w:uiPriority w:val="0"/>
    <w:qFormat/>
    <w:rPr>
      <w:rFonts w:hAnsi="Courier New" w:eastAsia="楷体_GB2312"/>
      <w:color w:val="000000"/>
      <w:sz w:val="26"/>
    </w:rPr>
  </w:style>
  <w:style w:type="paragraph" w:styleId="959" w:customStyle="1">
    <w:name w:val="p2"/>
    <w:basedOn w:val="686"/>
    <w:uiPriority w:val="0"/>
    <w:qFormat/>
    <w:pPr>
      <w:jc w:val="left"/>
      <w:spacing w:before="100" w:beforeAutospacing="1" w:after="100" w:afterAutospacing="1"/>
      <w:widowControl/>
    </w:pPr>
    <w:rPr>
      <w:rFonts w:ascii="宋体" w:hAnsi="宋体" w:cs="宋体"/>
      <w:sz w:val="24"/>
    </w:rPr>
  </w:style>
  <w:style w:type="paragraph" w:styleId="960"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1" w:customStyle="1">
    <w:name w:val="文档正文"/>
    <w:basedOn w:val="686"/>
    <w:uiPriority w:val="0"/>
    <w:unhideWhenUsed/>
    <w:qFormat/>
    <w:pPr>
      <w:ind w:firstLine="482"/>
      <w:spacing w:before="60" w:after="60" w:line="360" w:lineRule="auto"/>
    </w:pPr>
  </w:style>
  <w:style w:type="character" w:styleId="962" w:customStyle="1">
    <w:name w:val="font01"/>
    <w:basedOn w:val="696"/>
    <w:uiPriority w:val="0"/>
    <w:qFormat/>
    <w:rPr>
      <w:rFonts w:hint="eastAsia" w:ascii="宋体" w:hAnsi="宋体" w:eastAsia="宋体" w:cs="宋体"/>
      <w:color w:val="000000"/>
      <w:sz w:val="22"/>
      <w:szCs w:val="22"/>
      <w:u w:val="none"/>
    </w:rPr>
  </w:style>
  <w:style w:type="character" w:styleId="963" w:customStyle="1">
    <w:name w:val="font11"/>
    <w:uiPriority w:val="0"/>
    <w:qFormat/>
    <w:rPr>
      <w:rFonts w:hint="eastAsia" w:ascii="宋体" w:hAnsi="宋体" w:eastAsia="宋体" w:cs="宋体"/>
      <w:color w:val="ff0000"/>
      <w:sz w:val="22"/>
      <w:szCs w:val="22"/>
      <w:u w:val="none"/>
    </w:rPr>
  </w:style>
  <w:style w:type="character" w:styleId="964" w:customStyle="1">
    <w:name w:val="font31"/>
    <w:basedOn w:val="696"/>
    <w:uiPriority w:val="0"/>
    <w:qFormat/>
    <w:rPr>
      <w:rFonts w:hint="eastAsia" w:ascii="宋体" w:hAnsi="宋体" w:eastAsia="宋体" w:cs="宋体"/>
      <w:color w:val="000000"/>
      <w:sz w:val="22"/>
      <w:szCs w:val="22"/>
      <w:u w:val="none"/>
    </w:rPr>
  </w:style>
  <w:style w:type="paragraph" w:styleId="965" w:customStyle="1">
    <w:name w:val="Table Paragraph"/>
    <w:basedOn w:val="686"/>
    <w:uiPriority w:val="1"/>
    <w:qFormat/>
    <w:pPr>
      <w:jc w:val="left"/>
    </w:pPr>
    <w:rPr>
      <w:sz w:val="24"/>
    </w:rPr>
  </w:style>
  <w:style w:type="paragraph" w:styleId="966" w:customStyle="1">
    <w:name w:val="正文2"/>
    <w:basedOn w:val="686"/>
    <w:uiPriority w:val="0"/>
    <w:qFormat/>
    <w:pPr>
      <w:ind w:firstLine="200"/>
      <w:spacing w:before="156" w:line="360" w:lineRule="auto"/>
    </w:pPr>
    <w:rPr>
      <w:sz w:val="24"/>
      <w:szCs w:val="20"/>
    </w:rPr>
  </w:style>
  <w:style w:type="character" w:styleId="967" w:customStyle="1">
    <w:name w:val="NormalCharacter"/>
    <w:link w:val="968"/>
    <w:uiPriority w:val="0"/>
    <w:semiHidden/>
    <w:qFormat/>
    <w:rPr>
      <w:sz w:val="20"/>
      <w:szCs w:val="20"/>
    </w:rPr>
  </w:style>
  <w:style w:type="paragraph" w:styleId="968" w:customStyle="1">
    <w:name w:val="UserStyle_0"/>
    <w:basedOn w:val="686"/>
    <w:link w:val="967"/>
    <w:uiPriority w:val="0"/>
    <w:semiHidden/>
    <w:qFormat/>
    <w:pPr>
      <w:widowControl/>
    </w:pPr>
    <w:rPr>
      <w:sz w:val="20"/>
      <w:szCs w:val="20"/>
    </w:rPr>
  </w:style>
  <w:style w:type="paragraph" w:styleId="969" w:customStyle="1">
    <w:name w:val="Body text|1"/>
    <w:uiPriority w:val="0"/>
    <w:qFormat/>
    <w:pPr>
      <w:jc w:val="both"/>
      <w:spacing w:after="60"/>
      <w:widowControl w:val="off"/>
    </w:pPr>
    <w:rPr>
      <w:rFonts w:hint="default" w:ascii="宋体" w:hAnsi="宋体" w:eastAsia="宋体" w:cs="宋体"/>
      <w:lang w:val="zh-TW" w:eastAsia="zh-TW" w:bidi="zh-TW"/>
    </w:rPr>
  </w:style>
  <w:style w:type="character" w:styleId="970" w:customStyle="1">
    <w:name w:val="font61"/>
    <w:basedOn w:val="696"/>
    <w:uiPriority w:val="0"/>
    <w:qFormat/>
    <w:rPr>
      <w:rFonts w:ascii="方正仿宋_GBK" w:hAnsi="方正仿宋_GBK" w:eastAsia="方正仿宋_GBK" w:cs="方正仿宋_GBK"/>
      <w:b/>
      <w:bCs/>
      <w:color w:val="000000"/>
      <w:sz w:val="22"/>
      <w:szCs w:val="22"/>
      <w:u w:val="none"/>
    </w:rPr>
  </w:style>
  <w:style w:type="character" w:styleId="971" w:customStyle="1">
    <w:name w:val="font51"/>
    <w:basedOn w:val="696"/>
    <w:uiPriority w:val="0"/>
    <w:qFormat/>
    <w:rPr>
      <w:rFonts w:hint="eastAsia" w:ascii="方正仿宋_GBK" w:hAnsi="方正仿宋_GBK" w:eastAsia="方正仿宋_GBK" w:cs="方正仿宋_GBK"/>
      <w:color w:val="000000"/>
      <w:sz w:val="22"/>
      <w:szCs w:val="22"/>
      <w:u w:val="none"/>
    </w:rPr>
  </w:style>
  <w:style w:type="character" w:styleId="972" w:customStyle="1">
    <w:name w:val="font41"/>
    <w:basedOn w:val="696"/>
    <w:uiPriority w:val="0"/>
    <w:qFormat/>
    <w:rPr>
      <w:rFonts w:hint="default" w:ascii="Times New Roman" w:hAnsi="Times New Roman" w:cs="Times New Roman"/>
      <w:color w:val="000000"/>
      <w:sz w:val="22"/>
      <w:szCs w:val="22"/>
      <w:u w:val="none"/>
    </w:rPr>
  </w:style>
  <w:style w:type="character" w:styleId="973" w:customStyle="1">
    <w:name w:val="font81"/>
    <w:basedOn w:val="696"/>
    <w:uiPriority w:val="0"/>
    <w:qFormat/>
    <w:rPr>
      <w:rFonts w:hint="eastAsia" w:ascii="宋体" w:hAnsi="宋体" w:eastAsia="宋体" w:cs="宋体"/>
      <w:b/>
      <w:bCs/>
      <w:color w:val="000000"/>
      <w:sz w:val="22"/>
      <w:szCs w:val="22"/>
      <w:u w:val="none"/>
    </w:rPr>
  </w:style>
  <w:style w:type="paragraph" w:styleId="974" w:customStyle="1">
    <w:name w:val="正文1"/>
    <w:basedOn w:val="975"/>
    <w:next w:val="976"/>
    <w:uiPriority w:val="99"/>
    <w:qFormat/>
    <w:pPr>
      <w:jc w:val="both"/>
    </w:pPr>
    <w:rPr>
      <w:rFonts w:ascii="Times New Roman" w:hAnsi="Times New Roman" w:eastAsia="宋体" w:cs="Times New Roman"/>
      <w:sz w:val="21"/>
      <w:szCs w:val="21"/>
      <w:lang w:val="en-US" w:eastAsia="zh-CN" w:bidi="ar-SA"/>
    </w:rPr>
  </w:style>
  <w:style w:type="paragraph" w:styleId="975" w:customStyle="1">
    <w:name w:val="正文11"/>
    <w:next w:val="976"/>
    <w:uiPriority w:val="0"/>
    <w:qFormat/>
    <w:pPr>
      <w:jc w:val="both"/>
      <w:widowControl w:val="off"/>
    </w:pPr>
    <w:rPr>
      <w:rFonts w:hint="default" w:ascii="Calibri" w:hAnsi="Calibri" w:eastAsia="宋体" w:cs="Times New Roman"/>
      <w:sz w:val="21"/>
      <w:szCs w:val="24"/>
      <w:lang w:val="en-US" w:eastAsia="zh-CN" w:bidi="ar-SA"/>
    </w:rPr>
  </w:style>
  <w:style w:type="paragraph" w:styleId="976" w:customStyle="1">
    <w:name w:val="正文文本1"/>
    <w:basedOn w:val="974"/>
    <w:next w:val="975"/>
    <w:uiPriority w:val="0"/>
    <w:qFormat/>
    <w:pPr>
      <w:ind w:left="1540"/>
    </w:pPr>
    <w:rPr>
      <w:sz w:val="24"/>
      <w:szCs w:val="24"/>
    </w:rPr>
  </w:style>
  <w:style w:type="paragraph" w:styleId="977" w:customStyle="1">
    <w:name w:val="首行缩进"/>
    <w:basedOn w:val="686"/>
    <w:uiPriority w:val="0"/>
    <w:qFormat/>
    <w:pPr>
      <w:ind w:firstLine="480"/>
    </w:pPr>
    <w:rPr>
      <w:lang w:val="zh-CN"/>
    </w:rPr>
  </w:style>
  <w:style w:type="paragraph" w:styleId="978" w:customStyle="1">
    <w:name w:val="列出段落2"/>
    <w:basedOn w:val="686"/>
    <w:uiPriority w:val="34"/>
    <w:qFormat/>
    <w:pPr>
      <w:ind w:firstLine="420"/>
    </w:pPr>
    <w:rPr>
      <w:rFonts w:eastAsia="仿宋"/>
      <w:sz w:val="30"/>
    </w:rPr>
  </w:style>
  <w:style w:type="paragraph" w:styleId="979" w:customStyle="1">
    <w:name w:val="正文 正文"/>
    <w:basedOn w:val="686"/>
    <w:uiPriority w:val="0"/>
    <w:qFormat/>
    <w:pPr>
      <w:ind w:firstLine="200"/>
      <w:spacing w:before="50" w:after="50" w:line="360" w:lineRule="auto"/>
    </w:pPr>
  </w:style>
  <w:style w:type="paragraph" w:styleId="980" w:customStyle="1">
    <w:name w:val="修订1"/>
    <w:hidden/>
    <w:uiPriority w:val="99"/>
    <w:unhideWhenUsed/>
    <w:qFormat/>
    <w:rPr>
      <w:rFonts w:hint="default" w:ascii="Times New Roman" w:hAnsi="Times New Roman" w:eastAsia="宋体" w:cs="Times New Roman"/>
      <w:sz w:val="21"/>
      <w:szCs w:val="24"/>
      <w:lang w:val="en-US" w:eastAsia="zh-CN" w:bidi="ar-SA"/>
    </w:rPr>
  </w:style>
  <w:style w:type="paragraph" w:styleId="981" w:customStyle="1">
    <w:name w:val="修订2"/>
    <w:hidden/>
    <w:uiPriority w:val="99"/>
    <w:unhideWhenUsed/>
    <w:qFormat/>
    <w:rPr>
      <w:rFonts w:hint="default" w:ascii="Times New Roman" w:hAnsi="Times New Roman" w:eastAsia="宋体" w:cs="Times New Roman"/>
      <w:sz w:val="21"/>
      <w:szCs w:val="24"/>
      <w:lang w:val="en-US" w:eastAsia="zh-CN" w:bidi="ar-SA"/>
    </w:rPr>
  </w:style>
  <w:style w:type="table" w:styleId="982" w:customStyle="1">
    <w:name w:val="Table Normal"/>
    <w:uiPriority w:val="0"/>
    <w:semiHidden/>
    <w:unhideWhenUsed/>
    <w:qFormat/>
    <w:tblPr>
      <w:tblCellMar>
        <w:left w:w="0" w:type="dxa"/>
        <w:top w:w="0" w:type="dxa"/>
        <w:right w:w="0" w:type="dxa"/>
        <w:bottom w:w="0" w:type="dxa"/>
      </w:tblCellMar>
    </w:tblPr>
  </w:style>
  <w:style w:type="numbering" w:styleId="114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6E68E78C-5E98-47FB-8041-62D88885F52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MS</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车玉彩</cp:lastModifiedBy>
  <cp:revision>82</cp:revision>
  <dcterms:created xsi:type="dcterms:W3CDTF">2023-10-09T13:20:00Z</dcterms:created>
  <dcterms:modified xsi:type="dcterms:W3CDTF">2025-11-26T02:49:24Z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51AE13D597394C4CAF95044BEF4F43E2_13</vt:lpwstr>
  </property>
  <property fmtid="{D5CDD505-2E9C-101B-9397-08002B2CF9AE}" pid="4" name="KSOTemplateDocerSaveRecord">
    <vt:lpwstr>eyJoZGlkIjoiODI3Y2UwYTcxYTRiNDQ4ZDU2NTE1NzM0MTZiYjY0MzMiLCJ1c2VySWQiOiI3NTQ2Nzg5MTIifQ==</vt:lpwstr>
  </property>
</Properties>
</file>